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B0" w:rsidRDefault="00480D52">
      <w:pPr>
        <w:pStyle w:val="ConsPlusNormal"/>
        <w:ind w:left="9639" w:firstLine="0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Приложение</w:t>
      </w:r>
    </w:p>
    <w:p w:rsidR="007E44B0" w:rsidRDefault="007E44B0">
      <w:pPr>
        <w:pStyle w:val="ConsPlusNormal"/>
        <w:ind w:left="9639" w:firstLine="0"/>
        <w:rPr>
          <w:rFonts w:ascii="PT Astra Serif" w:hAnsi="PT Astra Serif" w:cs="PT Astra Serif"/>
          <w:color w:val="000000"/>
          <w:sz w:val="24"/>
          <w:szCs w:val="24"/>
        </w:rPr>
      </w:pPr>
    </w:p>
    <w:p w:rsidR="007E44B0" w:rsidRDefault="00480D52">
      <w:pPr>
        <w:pStyle w:val="ConsPlusNormal"/>
        <w:ind w:left="9639" w:firstLine="0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УТВЕРЖДЕН </w:t>
      </w:r>
    </w:p>
    <w:p w:rsidR="007E44B0" w:rsidRDefault="00480D52">
      <w:pPr>
        <w:pStyle w:val="ConsPlusNormal"/>
        <w:ind w:left="9639" w:firstLine="0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приказом министерства финансов Саратовской области от </w:t>
      </w:r>
      <w:r w:rsidR="008E07F2">
        <w:rPr>
          <w:rFonts w:ascii="PT Astra Serif" w:eastAsia="PT Astra Serif" w:hAnsi="PT Astra Serif" w:cs="PT Astra Serif"/>
          <w:color w:val="000000"/>
          <w:sz w:val="24"/>
          <w:szCs w:val="24"/>
        </w:rPr>
        <w:t>30.12.2025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№ </w:t>
      </w:r>
      <w:r w:rsidR="008E07F2">
        <w:rPr>
          <w:rFonts w:ascii="PT Astra Serif" w:eastAsia="PT Astra Serif" w:hAnsi="PT Astra Serif" w:cs="PT Astra Serif"/>
          <w:color w:val="000000"/>
          <w:sz w:val="24"/>
          <w:szCs w:val="24"/>
        </w:rPr>
        <w:t>545</w:t>
      </w:r>
    </w:p>
    <w:p w:rsidR="007E44B0" w:rsidRDefault="00480D52">
      <w:pPr>
        <w:pStyle w:val="ConsPlusNormal"/>
        <w:ind w:firstLine="0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>План</w:t>
      </w:r>
    </w:p>
    <w:p w:rsidR="007E44B0" w:rsidRDefault="00480D52">
      <w:pPr>
        <w:pStyle w:val="ConsPlusNormal"/>
        <w:ind w:firstLine="0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>п</w:t>
      </w:r>
      <w:r w:rsidR="0060508C"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>р</w:t>
      </w:r>
      <w:bookmarkStart w:id="0" w:name="_GoBack"/>
      <w:bookmarkEnd w:id="0"/>
      <w:r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>отиводействия коррупции министерства финансов Саратовской области на 202</w:t>
      </w:r>
      <w:r w:rsidR="00365312"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>6</w:t>
      </w:r>
      <w:r>
        <w:rPr>
          <w:rFonts w:ascii="PT Astra Serif" w:eastAsia="PT Astra Serif" w:hAnsi="PT Astra Serif" w:cs="PT Astra Serif"/>
          <w:b/>
          <w:color w:val="000000"/>
          <w:sz w:val="28"/>
          <w:szCs w:val="28"/>
        </w:rPr>
        <w:t xml:space="preserve"> год</w:t>
      </w:r>
    </w:p>
    <w:tbl>
      <w:tblPr>
        <w:tblW w:w="15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"/>
        <w:gridCol w:w="3379"/>
        <w:gridCol w:w="2043"/>
        <w:gridCol w:w="2621"/>
        <w:gridCol w:w="3379"/>
        <w:gridCol w:w="2632"/>
        <w:gridCol w:w="357"/>
      </w:tblGrid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/п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Мероприятия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Исполнители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Срок выполнения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>Индикаторы и показатели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  <w:b/>
                <w:color w:val="000000"/>
              </w:rPr>
            </w:pPr>
            <w:r>
              <w:rPr>
                <w:rFonts w:ascii="PT Astra Serif" w:eastAsia="PT Astra Serif" w:hAnsi="PT Astra Serif" w:cs="PT Astra Serif"/>
                <w:b/>
                <w:color w:val="000000"/>
                <w:lang w:eastAsia="zh-CN"/>
              </w:rPr>
              <w:t xml:space="preserve">Ожидаемый результат 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jc w:val="center"/>
              <w:rPr>
                <w:rFonts w:ascii="PT Astra Serif" w:hAnsi="PT Astra Serif" w:cs="PT Astra Serif"/>
                <w:b/>
                <w:color w:val="000000"/>
                <w:sz w:val="20"/>
                <w:szCs w:val="20"/>
              </w:rPr>
            </w:pPr>
          </w:p>
        </w:tc>
      </w:tr>
      <w:tr w:rsidR="007E44B0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 Организационные меры по обеспечению реализации антикоррупционной политики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Внесение в план по противодействию коррупции министерства финансов Саратовской области (далее - план по противодействию коррупции) изменений в целях приведения его в соответствие с требованиями антикоррупционного законодательства и методических рекомендаций по вопросам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Афонина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 мере принятия нормативных правовых актов антикоррупционной направленности и разработки методических рекомендаций по вопросам противодействия коррупции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Обеспечение принятия и поддержания в актуальном состоянии правового акта о возложении персональной ответственности за состояние антикоррупционной работы в министерстве финансов Саратовской области на руководителя органа в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соответствии с подпунктом «а» пункта 8 перечня поручений Президента Российской Федерации от 14 ноября 2013 года № Пр-2689 по итогам заседания Совета при Президенте Российской Федерации по противодействию коррупции 30 октября 2013 года </w:t>
            </w:r>
            <w:proofErr w:type="gramEnd"/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в течени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и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года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1.3.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Назначение лица, ответственного за реализацию антикоррупционной политики в министерстве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312" w:rsidRDefault="00480D52" w:rsidP="00365312">
            <w:pPr>
              <w:tabs>
                <w:tab w:val="left" w:pos="-817"/>
              </w:tabs>
              <w:jc w:val="center"/>
              <w:rPr>
                <w:rFonts w:ascii="PT Astra Serif" w:eastAsia="PT Astra Serif" w:hAnsi="PT Astra Serif" w:cs="PT Astra Serif"/>
                <w:color w:val="000000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</w:t>
            </w:r>
            <w:r w:rsidR="0005561A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;</w:t>
            </w:r>
          </w:p>
          <w:p w:rsidR="0005561A" w:rsidRDefault="0005561A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 мере необходимости, в том числе при кадровых изменениях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ведения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 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А.А.,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Теплова С.А.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cantSplit/>
        </w:trPr>
        <w:tc>
          <w:tcPr>
            <w:tcW w:w="569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Рассмотрение на совещаниях у министра финансов Саратовской области хода и результатов выполнения мероприятий антикоррупционной направленности, в том числе:</w:t>
            </w:r>
          </w:p>
        </w:tc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</w:t>
            </w:r>
          </w:p>
        </w:tc>
        <w:tc>
          <w:tcPr>
            <w:tcW w:w="2629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ежеквартально, по результатам квартала</w:t>
            </w:r>
          </w:p>
        </w:tc>
        <w:tc>
          <w:tcPr>
            <w:tcW w:w="3395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количество совещаний по вопросам реализации и результатам выполнения мероприятий антикоррупционной направленности – не менее 2 единиц в течение каждого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полугодия</w:t>
            </w:r>
          </w:p>
        </w:tc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обеспечение регулярного рассмотрения хода и результатов выполнения мероприятий антикоррупционной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направленности 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анализа работы должностных лиц, ответственных за работу по профилактике коррупционных и иных правонарушений;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вопросов обеспечения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контроля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cantSplit/>
        </w:trPr>
        <w:tc>
          <w:tcPr>
            <w:tcW w:w="569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состояния работы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 приведению в установленные сроки правовых актов органа исполнительной власти области в соответствие с нормативными правовыми актами Российской Федерации в сфере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противодействия коррупции</w:t>
            </w:r>
          </w:p>
        </w:tc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29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395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/>
                <w:color w:val="000000"/>
                <w:lang w:eastAsia="zh-CN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деятельности рабочей группы по оценке и координации антикоррупционной работы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Майофис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Е.Б.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постоянно 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(не менее двух раз в полугодие)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2. Повышение эффективности механизмов урегулирования конфликта интересов, обеспечение соблюдения государственными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гражданскими служащими области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Организационно-техническое и документационное обеспечение деятельности комиссии по соблюдению требований к служебному поведению государственных гражданских служащих области и урегулированию конфликта интересов, а также совершенствование нормативных правовых актов министерства финансов Саратовской области, регламентирующих ее функционирование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Привлечение к участию в работе комиссии по соблюдению требований к служебному поведению государственных гражданских служащих области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урегулированию конфликта интересов»</w:t>
            </w:r>
            <w:proofErr w:type="gramEnd"/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доля заседаний комиссии по соблюдению требований к служебному поведению государственных гражданских служащих области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и урегулированию конфликта интересов с участием представителей институтов гражданского общества – 100% от общего количества проведенных заседаний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участия представителей институтов гражданского общества на заседаниях комиссии по соблюдению требований к служебному поведению государственных гражданских служащих области и урегулированию конфликта интересов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Осуществление проверок достоверности и полноты сведений, представляемых гражданами, претендующими на замещение должностей государственной гражданской службы в министерстве финансов области и лицами, замещающими указанные должности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отношение количества проведенных проверок к количеству фактов поступления информации, являющейся основанием для проведения проверок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проведения проверки представленных сведений в случае поступления информации, являющейся основанием для проведения проверки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Организация и обеспечение работы по рассмотрению уведомлений представителя нанимателя о фактах обращения в целях склонения государственных гражданских служащих министерства финансов области к совершению коррупционных правонарушений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1) отношение количества поступивших уведомлений о фактах обращения в целях склонения государственных гражданских служащих области к совершению коррупционных правонарушений к количеству фактов указанных обращений  - 100%;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2) отношение количества проверок, проведенных по поступившим уведомлениям, к количеству поступивших уведомлений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1) обеспечение представления государственными гражданскими служащими области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2) обеспечение проведения проверок в случае поступления уведомления представителю нанимателя о фактах обращения в целях склонения государственного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гражданского служащего области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 совершению коррупционных правонарушений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Поддержание в актуальном состоянии перечня должностей государственной гражданской службы области, при назначении на которые граждане и при замещении которых государственные гражданские служащие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имуществе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и обязательствах имущественного характера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контроля исполнения должностных обязанностей лицами, проходящими государственную гражданскую службу в министерстве финансов области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CE" w:rsidRDefault="001023CE">
            <w:pPr>
              <w:tabs>
                <w:tab w:val="left" w:pos="-817"/>
              </w:tabs>
              <w:jc w:val="center"/>
              <w:rPr>
                <w:rFonts w:ascii="PT Astra Serif" w:eastAsia="PT Astra Serif" w:hAnsi="PT Astra Serif" w:cs="PT Astra Serif"/>
                <w:color w:val="000000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Тарасова Л.В.;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Петькин Е.А.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2.8.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реализации комплекса организационных, разъяснительных и иных мер по соблюдению государственными гражданскими служащими министерства финансов области запретов, ограничений 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 w:rsidP="0005561A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  <w:u w:val="single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в соответствии с приказом </w:t>
            </w:r>
            <w:r>
              <w:rPr>
                <w:rFonts w:ascii="PT Astra Serif" w:eastAsia="PT Astra Serif" w:hAnsi="PT Astra Serif" w:cs="PT Astra Serif"/>
                <w:color w:val="000000"/>
                <w:u w:val="single"/>
                <w:lang w:eastAsia="zh-CN"/>
              </w:rPr>
              <w:t>министерства финансов Саратовской области от 25.09.2020 № 6</w:t>
            </w:r>
            <w:r w:rsidR="0005561A">
              <w:rPr>
                <w:rFonts w:ascii="PT Astra Serif" w:eastAsia="PT Astra Serif" w:hAnsi="PT Astra Serif" w:cs="PT Astra Serif"/>
                <w:color w:val="000000"/>
                <w:u w:val="single"/>
                <w:lang w:eastAsia="zh-CN"/>
              </w:rPr>
              <w:t>60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2.9.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реализации комплекса организационных, разъяснительных и иных мер по соблюдению работниками организаций, подведомственных министерству финансов Саратовской области запретов, ограничений и требований, установленных в целях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 w:rsidP="0005561A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  <w:u w:val="single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в соответствии с приказом </w:t>
            </w:r>
            <w:r>
              <w:rPr>
                <w:rFonts w:ascii="PT Astra Serif" w:eastAsia="PT Astra Serif" w:hAnsi="PT Astra Serif" w:cs="PT Astra Serif"/>
                <w:color w:val="000000"/>
                <w:u w:val="single"/>
                <w:lang w:eastAsia="zh-CN"/>
              </w:rPr>
              <w:t>министерства финансов Саратовской области от 25.09.2020 № 6</w:t>
            </w:r>
            <w:r w:rsidR="0005561A">
              <w:rPr>
                <w:rFonts w:ascii="PT Astra Serif" w:eastAsia="PT Astra Serif" w:hAnsi="PT Astra Serif" w:cs="PT Astra Serif"/>
                <w:color w:val="000000"/>
                <w:u w:val="single"/>
                <w:lang w:eastAsia="zh-CN"/>
              </w:rPr>
              <w:t>60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2.10.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Проведение работы по выявлению случаев возникновения конфликта интересов, одной из сторон которого являются государственные гражданские служащие министерства финансов области,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3CE" w:rsidRDefault="001023CE" w:rsidP="001023CE">
            <w:pPr>
              <w:tabs>
                <w:tab w:val="left" w:pos="-817"/>
              </w:tabs>
              <w:jc w:val="center"/>
              <w:rPr>
                <w:rFonts w:ascii="PT Astra Serif" w:eastAsia="PT Astra Serif" w:hAnsi="PT Astra Serif" w:cs="PT Astra Serif"/>
                <w:color w:val="000000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Тарасова Л.В.;</w:t>
            </w:r>
          </w:p>
          <w:p w:rsidR="007E44B0" w:rsidRPr="001023CE" w:rsidRDefault="00480D52" w:rsidP="001023CE">
            <w:pPr>
              <w:tabs>
                <w:tab w:val="left" w:pos="-817"/>
              </w:tabs>
              <w:jc w:val="center"/>
              <w:rPr>
                <w:rFonts w:ascii="PT Astra Serif" w:eastAsia="PT Astra Serif" w:hAnsi="PT Astra Serif" w:cs="PT Astra Serif"/>
                <w:color w:val="000000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Петькин Е.А.;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2.11.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Разработка и принятие мер, направленных на повышение эффективности </w:t>
            </w:r>
          </w:p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контроля за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соблюдением </w:t>
            </w:r>
          </w:p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лицами, замещающими должности государственной гражданской службы в министерстве финансов области, требований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2.12.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Разработка и принятие мер, направленных на повышение эффективности кадровой работы в части, касающейся ведения личных дел лиц, замещающих должности государственной гражданской службы области,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2.13.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Предание гласности случаев несоблюдения требований о предотвращении или об урегулировании конфликта интересов и применение мер ответственности, предусмотренных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законодательством Российской Федерации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при выявлении случаев несоблюдения требований о предотвращении или об урегулировании конфликта интересов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1) отношение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количества фактов предания гласности случаев несоблюдения требований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о предотвращении или об урегулировании конфликта интересов к количеству выявленных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случаев несоблюдения требований о предотвращении или об урегулировании конфликта интересов - 100%;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2) отношение количества фактов применения мер ответственности, предусмотренных законодательством Российской Федерации, к количеству выявленных фактов несоблюдения требований о предотвращении или об урегулировании конфликта интересов при наличии оснований для применения мер ответственности - 100%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1) обеспечение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предания гласности каждого выявленного случая несоблюдения требований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о предотвращении или об урегулировании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конфликта интересов; 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2) обеспечение применения мер ответственности, предусмотренных законодательством Российской Федерации, в случае выявления факта несоблюдения требований о предотвращении или об урегулировании конфликта интересов при наличии оснований для применения мер ответственности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2.14.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Организация участия государственных гражданских служащих министерства финансов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обучение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ежегодно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отношение количества государственных гражданских служащих области, в должностные обязанности которых входит участие в противодействии коррупции, к количеству указанных лиц, получивших дополнительное профессиональное образование по вопросам противодействия коррупции, - 100%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получение дополнительного профессионального образования по вопросам противодействия коррупции государственными гражданскими служащими, в должностные обязанности которых входит участие в противодействии коррупции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trHeight w:val="2480"/>
        </w:trPr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2.15.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Организация участия лиц, впервые поступивших на государственную службу и замещающих должности в министерстве финансов области,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при назначении на соответствующие должности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2.16.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Участие государственных гражданских служащих министерства финансов области,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обучение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</w:t>
            </w:r>
            <w:r w:rsidR="0036531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lang w:eastAsia="zh-CN"/>
              </w:rPr>
              <w:t>ежегодно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2.17.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Обмен лучшими практиками, передовым опытом организации работы по противодействию коррупции (изучение соответствующей информации государственных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органов, в том числе иных регионов, распространение имеющегося положительного опыта)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</w:t>
            </w:r>
            <w:r w:rsidR="001023CE">
              <w:rPr>
                <w:rFonts w:ascii="PT Astra Serif" w:hAnsi="PT Astra Serif" w:cs="PT Astra Serif"/>
                <w:color w:val="000000"/>
              </w:rPr>
              <w:t xml:space="preserve">; </w:t>
            </w:r>
          </w:p>
          <w:p w:rsidR="001023CE" w:rsidRDefault="001023CE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</w:rPr>
              <w:t>Афонина</w:t>
            </w:r>
            <w:proofErr w:type="spellEnd"/>
            <w:r>
              <w:rPr>
                <w:rFonts w:ascii="PT Astra Serif" w:hAnsi="PT Astra Serif" w:cs="PT Astra Serif"/>
                <w:color w:val="000000"/>
              </w:rPr>
              <w:t xml:space="preserve">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2.18.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36531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Казина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Н.Г.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 Выявление и систематизация причин и условий проявления коррупции в деятельности органа исполнительной власти области, мониторинг коррупционных рисков и их устранение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Проведение антикоррупционной экспертизы проектов нормативных правовых актов, принимаемых министерством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Афонина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отношение количества проведенных антикоррупционных экспертиз к количеству разработанных проектов нормативных правовых актов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проведения антикоррупционной экспертизы проекта принимаемого нормативного правового акта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Осуществление мониторинга применения нормативных правовых актов, принятых министерством финансов Саратовской области, и проведение в отношении них антикоррупционной экспертизы при наличии признаков возможных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коррупциогенных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факторов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1 раз в год, 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до 13 декабря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Рассмотрение вопросов правоприменительной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практики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по результатам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министерства финансов Саратовской области и подведомственных ему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Афонина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ежеквартально 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rPr>
          <w:trHeight w:val="3428"/>
        </w:trPr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3.4.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Размещение в установленном порядке в информационно-телекоммуникационной сети «Интернет» разрабатываемых министерством финансов Саратовской области проектов 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руководители структурных подразделений министерства финансов Саратовской области, являющиеся разработчиками проектов нормативных правовых актов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отношение количества размещённых в установленном порядке в информационно-телекоммуникационной сети «Интернет» проектов нормативных правовых актов к количеству разработанных проектов, в отношении которых предусмотрено проведение независимой антикоррупционной экспертизы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размещение в установленном порядке в «Интернет» проекта принимаемого нормативного правового акта, в отношении которого предусмотрено проведение независимой антикоррупционной экспертизы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Осуществление мониторинга с целью выявления коррупционных рисков в деятельности по осуществлению закупок для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обеспечения государственных нужд области и устранение выявленных коррупционных рисков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Михайлов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3.6.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Разработка и принятие мер по противодействию коррупции </w:t>
            </w:r>
          </w:p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при осуществлении закупок для обеспечения государственных нужд области, в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Беляева Л.В.;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Михайлов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3.7.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Разработка и принятие мер по противодействию коррупции при учете и использовании объектов государственной собственности области, в 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должностных лиц, участвующих в принятии решений о предоставлении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объектов государственной собственности области с физическими и юридическими лицами, в отношении которых принято решение о предоставлении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Беляева Л.В.;</w:t>
            </w:r>
          </w:p>
          <w:p w:rsidR="007E44B0" w:rsidRDefault="00565B86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Ананьева С.В.</w:t>
            </w:r>
            <w:r w:rsidR="0005561A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Михайлов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4. Взаимодействие органа исполнительной власти области с институтами гражданского общества и гражданами, обеспечение доступности информации о деятельности органа исполнительной власти области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4.1.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Львова А.А.;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Михайлова А.С.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постоянно, по мере поступления обращений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- 100%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4.2.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Беляева Л.В.;</w:t>
            </w:r>
          </w:p>
          <w:p w:rsidR="007E44B0" w:rsidRDefault="00365312" w:rsidP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Львова А.А.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4.3.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антикоррупционной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Попенец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П.П.</w:t>
            </w:r>
            <w:r w:rsidR="001023CE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руководители структурных подразделений министерства финансов Саратовской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области - в части предоставления информации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4.4.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Проведение «прямых линий» с гражданами по вопросам противодействия коррупции, отнесенным к сфере деятельности министерства финансов Саратовской области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 раз в полугодие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4.5.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Подготовка информационных справок о результатах проведения «прямых линий» с гражданами по вопросам противодействия коррупции, отнесенным к сфере деятельности министерства финансов Саратовской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36531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</w:t>
            </w:r>
            <w:proofErr w:type="spellStart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Теплова С.А. 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до 13 декабря отчетного года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4.6.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Привлечение членов общественного совета к осуществлению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контроля за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Киржева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А.А.</w:t>
            </w: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в соответствии с планом по противодействию коррупции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1466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5. Мероприятия органа исполнительной власти области, направленные на противодействие коррупции, с учетом специфики его деятельности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5.1.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Обеспечение реализации мероприятий по противодействию коррупции в подведомственных организациях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Меркулов И.В.;</w:t>
            </w: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Куркин Р.В.;</w:t>
            </w:r>
          </w:p>
          <w:p w:rsidR="007E44B0" w:rsidRDefault="00565B86" w:rsidP="00565B86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Ананьева С.В. </w:t>
            </w:r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руководители структурных подразделений </w:t>
            </w:r>
            <w:r w:rsidR="00480D52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министерства финансов Саратовской области - в части курируемых направлений 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постоянно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отношение количества подведомственных организаций, в которых обеспечена реализация мер по противодействию коррупции, предусмотренных для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организаций законодательством, к общему количеству подведомственных организаций – 100%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 xml:space="preserve">обеспечение принятия мер по противодействию коррупции, предусмотренных для организаций </w:t>
            </w: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законодательством, в каждой подведомственной организации</w:t>
            </w: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</w:tr>
      <w:tr w:rsidR="007E44B0">
        <w:tc>
          <w:tcPr>
            <w:tcW w:w="569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lastRenderedPageBreak/>
              <w:t>5.2.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Осуществление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контроля за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 xml:space="preserve"> использованием объектов государственной собственности области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государственной собственности области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eastAsia="PT Astra Serif" w:hAnsi="PT Astra Serif" w:cs="PT Astra Serif"/>
                <w:color w:val="000000"/>
                <w:lang w:eastAsia="zh-CN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Ананьева С.В.</w:t>
            </w:r>
            <w:r w:rsidR="00565B86"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;</w:t>
            </w:r>
          </w:p>
          <w:p w:rsidR="00565B86" w:rsidRDefault="00565B86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Ибрагимова О.В.</w:t>
            </w:r>
          </w:p>
        </w:tc>
        <w:tc>
          <w:tcPr>
            <w:tcW w:w="2629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1 раз в полугодие</w:t>
            </w:r>
          </w:p>
        </w:tc>
        <w:tc>
          <w:tcPr>
            <w:tcW w:w="3395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</w:tc>
        <w:tc>
          <w:tcPr>
            <w:tcW w:w="35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</w:tcPr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7E44B0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</w:p>
          <w:p w:rsidR="007E44B0" w:rsidRDefault="00480D52">
            <w:pPr>
              <w:tabs>
                <w:tab w:val="left" w:pos="-817"/>
              </w:tabs>
              <w:jc w:val="center"/>
              <w:rPr>
                <w:rFonts w:ascii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  <w:lang w:eastAsia="zh-CN"/>
              </w:rPr>
              <w:t>».</w:t>
            </w:r>
          </w:p>
        </w:tc>
      </w:tr>
    </w:tbl>
    <w:p w:rsidR="00480D52" w:rsidRDefault="00480D52"/>
    <w:sectPr w:rsidR="00480D52">
      <w:headerReference w:type="even" r:id="rId8"/>
      <w:headerReference w:type="default" r:id="rId9"/>
      <w:pgSz w:w="16838" w:h="11906" w:orient="landscape"/>
      <w:pgMar w:top="127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D32" w:rsidRDefault="00506D32">
      <w:r>
        <w:separator/>
      </w:r>
    </w:p>
  </w:endnote>
  <w:endnote w:type="continuationSeparator" w:id="0">
    <w:p w:rsidR="00506D32" w:rsidRDefault="0050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 CYR">
    <w:panose1 w:val="02070309020205020404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D32" w:rsidRDefault="00506D32">
      <w:r>
        <w:separator/>
      </w:r>
    </w:p>
  </w:footnote>
  <w:footnote w:type="continuationSeparator" w:id="0">
    <w:p w:rsidR="00506D32" w:rsidRDefault="00506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4B0" w:rsidRDefault="00480D52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28</w:t>
    </w:r>
    <w:r>
      <w:rPr>
        <w:rStyle w:val="afd"/>
      </w:rPr>
      <w:fldChar w:fldCharType="end"/>
    </w:r>
  </w:p>
  <w:p w:rsidR="007E44B0" w:rsidRDefault="007E44B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44B0" w:rsidRDefault="00480D52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E102B8">
      <w:rPr>
        <w:rStyle w:val="afd"/>
        <w:noProof/>
      </w:rPr>
      <w:t>17</w:t>
    </w:r>
    <w:r>
      <w:rPr>
        <w:rStyle w:val="afd"/>
      </w:rPr>
      <w:fldChar w:fldCharType="end"/>
    </w:r>
  </w:p>
  <w:p w:rsidR="007E44B0" w:rsidRDefault="007E44B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62401"/>
    <w:multiLevelType w:val="hybridMultilevel"/>
    <w:tmpl w:val="D9B2FB9A"/>
    <w:lvl w:ilvl="0" w:tplc="DFE87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DAB0A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C24E9A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494FEA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13AB9B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964E88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AE0325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7C45E1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7A2774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4B0"/>
    <w:rsid w:val="0005561A"/>
    <w:rsid w:val="001023CE"/>
    <w:rsid w:val="00365312"/>
    <w:rsid w:val="00480D52"/>
    <w:rsid w:val="00506D32"/>
    <w:rsid w:val="00565B86"/>
    <w:rsid w:val="0060508C"/>
    <w:rsid w:val="006A4462"/>
    <w:rsid w:val="007E44B0"/>
    <w:rsid w:val="008E07F2"/>
    <w:rsid w:val="009528B1"/>
    <w:rsid w:val="00CC1477"/>
    <w:rsid w:val="00E102B8"/>
    <w:rsid w:val="00FB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3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firstLine="8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spacing w:before="360" w:after="240"/>
      <w:ind w:firstLine="839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ind w:firstLine="72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sz w:val="28"/>
      <w:szCs w:val="2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rPr>
      <w:sz w:val="20"/>
      <w:szCs w:val="20"/>
      <w:lang w:val="en-US" w:eastAsia="ar-SA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</w:rPr>
  </w:style>
  <w:style w:type="paragraph" w:styleId="afa">
    <w:name w:val="Body Text"/>
    <w:basedOn w:val="a"/>
    <w:pPr>
      <w:jc w:val="center"/>
    </w:pPr>
    <w:rPr>
      <w:sz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Body Text Indent"/>
    <w:basedOn w:val="a"/>
    <w:pPr>
      <w:ind w:firstLine="851"/>
      <w:jc w:val="both"/>
    </w:pPr>
    <w:rPr>
      <w:i/>
      <w:iCs/>
      <w:color w:val="FF0000"/>
      <w:sz w:val="28"/>
      <w:szCs w:val="28"/>
    </w:rPr>
  </w:style>
  <w:style w:type="paragraph" w:styleId="24">
    <w:name w:val="Body Text Indent 2"/>
    <w:basedOn w:val="a"/>
    <w:pPr>
      <w:ind w:firstLine="851"/>
      <w:jc w:val="both"/>
    </w:pPr>
    <w:rPr>
      <w:color w:val="FF0000"/>
      <w:sz w:val="28"/>
      <w:szCs w:val="28"/>
    </w:rPr>
  </w:style>
  <w:style w:type="character" w:styleId="afd">
    <w:name w:val="page number"/>
    <w:basedOn w:val="a0"/>
  </w:style>
  <w:style w:type="paragraph" w:styleId="32">
    <w:name w:val="Body Text Indent 3"/>
    <w:basedOn w:val="a"/>
    <w:pPr>
      <w:ind w:firstLine="720"/>
      <w:jc w:val="both"/>
    </w:pPr>
    <w:rPr>
      <w:sz w:val="28"/>
      <w:szCs w:val="28"/>
    </w:rPr>
  </w:style>
  <w:style w:type="character" w:customStyle="1" w:styleId="afe">
    <w:name w:val="Цветовое выделение"/>
    <w:rPr>
      <w:b/>
      <w:bCs/>
      <w:color w:val="000080"/>
      <w:sz w:val="20"/>
      <w:szCs w:val="20"/>
    </w:rPr>
  </w:style>
  <w:style w:type="paragraph" w:customStyle="1" w:styleId="aff">
    <w:name w:val="Таблицы (моноширинный)"/>
    <w:basedOn w:val="a"/>
    <w:next w:val="a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aff0">
    <w:name w:val="ФИРМЕННЫЙ"/>
    <w:basedOn w:val="a"/>
    <w:pPr>
      <w:ind w:firstLine="720"/>
      <w:jc w:val="both"/>
    </w:pPr>
    <w:rPr>
      <w:sz w:val="28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25">
    <w:name w:val="Body Text 2"/>
    <w:basedOn w:val="a"/>
    <w:pPr>
      <w:spacing w:after="120" w:line="480" w:lineRule="auto"/>
    </w:pPr>
  </w:style>
  <w:style w:type="paragraph" w:styleId="aff1">
    <w:name w:val="Normal (Web)"/>
    <w:basedOn w:val="a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BodyText24">
    <w:name w:val="Body Text 24"/>
    <w:basedOn w:val="a"/>
    <w:pPr>
      <w:jc w:val="center"/>
    </w:pPr>
    <w:rPr>
      <w:szCs w:val="20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</w:rPr>
  </w:style>
  <w:style w:type="paragraph" w:customStyle="1" w:styleId="Oaaeeoa">
    <w:name w:val="Oaaeeoa"/>
    <w:basedOn w:val="a"/>
    <w:pPr>
      <w:jc w:val="both"/>
    </w:pPr>
    <w:rPr>
      <w:sz w:val="20"/>
      <w:szCs w:val="20"/>
    </w:rPr>
  </w:style>
  <w:style w:type="paragraph" w:customStyle="1" w:styleId="standartnyjjhtml">
    <w:name w:val="standartnyjjhtml"/>
    <w:basedOn w:val="a"/>
    <w:rPr>
      <w:rFonts w:ascii="Courier New CYR" w:hAnsi="Courier New CYR"/>
      <w:sz w:val="20"/>
      <w:szCs w:val="20"/>
    </w:rPr>
  </w:style>
  <w:style w:type="paragraph" w:customStyle="1" w:styleId="BodyText21">
    <w:name w:val="Body Text 21"/>
    <w:basedOn w:val="a"/>
    <w:pPr>
      <w:jc w:val="both"/>
    </w:pPr>
    <w:rPr>
      <w:sz w:val="28"/>
      <w:szCs w:val="20"/>
    </w:rPr>
  </w:style>
  <w:style w:type="character" w:styleId="aff2">
    <w:name w:val="annotation reference"/>
    <w:rPr>
      <w:sz w:val="16"/>
      <w:szCs w:val="16"/>
    </w:rPr>
  </w:style>
  <w:style w:type="paragraph" w:styleId="aff3">
    <w:name w:val="annotation text"/>
    <w:basedOn w:val="a"/>
    <w:link w:val="aff4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</w:style>
  <w:style w:type="paragraph" w:styleId="aff5">
    <w:name w:val="annotation subject"/>
    <w:basedOn w:val="aff3"/>
    <w:next w:val="aff3"/>
    <w:link w:val="aff6"/>
    <w:rPr>
      <w:b/>
      <w:bCs/>
    </w:rPr>
  </w:style>
  <w:style w:type="character" w:customStyle="1" w:styleId="aff6">
    <w:name w:val="Тема примечания Знак"/>
    <w:link w:val="aff5"/>
    <w:rPr>
      <w:b/>
      <w:bCs/>
    </w:rPr>
  </w:style>
  <w:style w:type="character" w:customStyle="1" w:styleId="af3">
    <w:name w:val="Текст сноски Знак"/>
    <w:link w:val="af2"/>
    <w:uiPriority w:val="99"/>
    <w:rPr>
      <w:lang w:val="en-US" w:eastAsia="ar-SA"/>
    </w:rPr>
  </w:style>
  <w:style w:type="character" w:customStyle="1" w:styleId="a6">
    <w:name w:val="Название Знак"/>
    <w:link w:val="a5"/>
    <w:rPr>
      <w:sz w:val="28"/>
    </w:rPr>
  </w:style>
  <w:style w:type="paragraph" w:customStyle="1" w:styleId="aff7">
    <w:name w:val="Заголовок"/>
    <w:basedOn w:val="a"/>
    <w:pPr>
      <w:ind w:right="3232"/>
      <w:jc w:val="both"/>
    </w:pPr>
    <w:rPr>
      <w:b/>
      <w:bCs/>
      <w:sz w:val="28"/>
      <w:szCs w:val="28"/>
    </w:rPr>
  </w:style>
  <w:style w:type="character" w:customStyle="1" w:styleId="34">
    <w:name w:val="Основной текст 3 Знак"/>
    <w:link w:val="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17</Pages>
  <Words>3075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Government of Saratov region</Company>
  <LinksUpToDate>false</LinksUpToDate>
  <CharactersWithSpaces>20562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Волков</dc:creator>
  <cp:lastModifiedBy>Хохлова Анна Юрьевна</cp:lastModifiedBy>
  <cp:revision>5</cp:revision>
  <cp:lastPrinted>2025-12-30T07:48:00Z</cp:lastPrinted>
  <dcterms:created xsi:type="dcterms:W3CDTF">2025-12-30T08:18:00Z</dcterms:created>
  <dcterms:modified xsi:type="dcterms:W3CDTF">2025-12-30T09:48:00Z</dcterms:modified>
  <cp:version>917504</cp:version>
</cp:coreProperties>
</file>