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E" w:rsidRPr="00F8248D" w:rsidRDefault="0073084E" w:rsidP="00CA3EC7">
      <w:pPr>
        <w:framePr w:hSpace="142" w:wrap="notBeside" w:vAnchor="page" w:hAnchor="margin" w:xAlign="center" w:y="1645"/>
        <w:spacing w:before="200" w:line="240" w:lineRule="auto"/>
        <w:jc w:val="center"/>
        <w:rPr>
          <w:rFonts w:ascii="PT Astra Serif" w:hAnsi="PT Astra Serif"/>
          <w:b/>
          <w:spacing w:val="30"/>
          <w:sz w:val="48"/>
        </w:rPr>
      </w:pPr>
      <w:r w:rsidRPr="00F8248D">
        <w:rPr>
          <w:rFonts w:ascii="PT Astra Serif" w:hAnsi="PT Astra Serif"/>
          <w:b/>
          <w:spacing w:val="30"/>
          <w:sz w:val="48"/>
        </w:rPr>
        <w:t>ЗАКОН</w:t>
      </w:r>
    </w:p>
    <w:p w:rsidR="0073084E" w:rsidRPr="00F8248D" w:rsidRDefault="0073084E" w:rsidP="00CA3EC7">
      <w:pPr>
        <w:pStyle w:val="ab"/>
        <w:framePr w:wrap="notBeside"/>
        <w:spacing w:line="240" w:lineRule="auto"/>
        <w:rPr>
          <w:rFonts w:ascii="PT Astra Serif" w:hAnsi="PT Astra Serif"/>
        </w:rPr>
      </w:pPr>
      <w:r w:rsidRPr="00F8248D">
        <w:rPr>
          <w:rFonts w:ascii="PT Astra Serif" w:hAnsi="PT Astra Serif"/>
        </w:rPr>
        <w:t>САРАТОВСКОЙ ОБЛАСТИ</w:t>
      </w:r>
    </w:p>
    <w:p w:rsidR="0073084E" w:rsidRPr="00D83D7B" w:rsidRDefault="0073084E" w:rsidP="003301A2">
      <w:pPr>
        <w:pStyle w:val="aa"/>
        <w:spacing w:after="360"/>
        <w:rPr>
          <w:rFonts w:ascii="PT Astra Serif" w:hAnsi="PT Astra Serif"/>
        </w:rPr>
      </w:pPr>
      <w:r w:rsidRPr="00D83D7B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5E3C710E" wp14:editId="4FC9FF0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3D7B">
        <w:rPr>
          <w:rFonts w:ascii="PT Astra Serif" w:hAnsi="PT Astra Serif"/>
        </w:rPr>
        <w:t>Об исполнении бюджета Территориального фонда обязательного медицинского страхования Саратовской области за 20</w:t>
      </w:r>
      <w:r w:rsidR="003301A2" w:rsidRPr="00D83D7B">
        <w:rPr>
          <w:rFonts w:ascii="PT Astra Serif" w:hAnsi="PT Astra Serif"/>
        </w:rPr>
        <w:t>2</w:t>
      </w:r>
      <w:r w:rsidR="005E6F8C" w:rsidRPr="00D83D7B">
        <w:rPr>
          <w:rFonts w:ascii="PT Astra Serif" w:hAnsi="PT Astra Serif"/>
        </w:rPr>
        <w:t>4</w:t>
      </w:r>
      <w:r w:rsidRPr="00D83D7B">
        <w:rPr>
          <w:rFonts w:ascii="PT Astra Serif" w:hAnsi="PT Astra Serif"/>
        </w:rPr>
        <w:t xml:space="preserve"> год</w:t>
      </w:r>
    </w:p>
    <w:p w:rsidR="00F8248D" w:rsidRPr="00D83D7B" w:rsidRDefault="00F8248D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D83D7B">
        <w:rPr>
          <w:rFonts w:ascii="PT Astra Serif" w:hAnsi="PT Astra Serif"/>
          <w:i/>
          <w:sz w:val="26"/>
          <w:szCs w:val="26"/>
        </w:rPr>
        <w:t>Статья 1</w:t>
      </w:r>
    </w:p>
    <w:p w:rsidR="00F8248D" w:rsidRPr="00D83D7B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5E6F8C" w:rsidRPr="00D83D7B" w:rsidRDefault="005E6F8C" w:rsidP="005E6F8C">
      <w:pPr>
        <w:tabs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Утвердить отчет об исполнении бюджета Территориального фонда</w:t>
      </w:r>
      <w:bookmarkStart w:id="0" w:name="_GoBack"/>
      <w:bookmarkEnd w:id="0"/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 xml:space="preserve"> обязательного медицинского страхования Саратовской области (далее – Фонд) за 2024 год со следующими основными показателями:</w:t>
      </w:r>
    </w:p>
    <w:p w:rsidR="005E6F8C" w:rsidRPr="00D83D7B" w:rsidRDefault="005E6F8C" w:rsidP="005E6F8C">
      <w:pPr>
        <w:tabs>
          <w:tab w:val="left" w:pos="720"/>
          <w:tab w:val="left" w:pos="10490"/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1)</w:t>
      </w:r>
      <w:r w:rsidRPr="00D83D7B">
        <w:rPr>
          <w:rFonts w:ascii="PT Astra Serif" w:eastAsia="Times New Roman" w:hAnsi="PT Astra Serif"/>
          <w:sz w:val="28"/>
          <w:szCs w:val="28"/>
          <w:lang w:val="en-US" w:eastAsia="ru-RU"/>
        </w:rPr>
        <w:t>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общий объем доходов бюджета Фонда в сумме 42 073 389,7 тыс. рублей;</w:t>
      </w:r>
    </w:p>
    <w:p w:rsidR="005E6F8C" w:rsidRPr="00D83D7B" w:rsidRDefault="005E6F8C" w:rsidP="005E6F8C">
      <w:pPr>
        <w:tabs>
          <w:tab w:val="left" w:pos="720"/>
          <w:tab w:val="left" w:pos="10490"/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2)</w:t>
      </w:r>
      <w:r w:rsidRPr="00D83D7B">
        <w:rPr>
          <w:rFonts w:ascii="PT Astra Serif" w:eastAsia="Times New Roman" w:hAnsi="PT Astra Serif"/>
          <w:sz w:val="28"/>
          <w:szCs w:val="28"/>
          <w:lang w:val="en-US" w:eastAsia="ru-RU"/>
        </w:rPr>
        <w:t>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общий объем расходов бюджета Фонда в сумме 42 003 735,4 тыс. рублей;</w:t>
      </w:r>
    </w:p>
    <w:p w:rsidR="005E6F8C" w:rsidRPr="00D83D7B" w:rsidRDefault="005E6F8C" w:rsidP="005E6F8C">
      <w:pPr>
        <w:tabs>
          <w:tab w:val="left" w:pos="720"/>
          <w:tab w:val="left" w:pos="10490"/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3)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объем профицита бюджета Фонда в сумме 69 654,3 тыс. рублей.</w:t>
      </w:r>
    </w:p>
    <w:p w:rsidR="00F8248D" w:rsidRPr="00D83D7B" w:rsidRDefault="00F8248D" w:rsidP="005E6F8C">
      <w:pPr>
        <w:pStyle w:val="ConsPlusNormal"/>
        <w:jc w:val="both"/>
        <w:rPr>
          <w:rFonts w:ascii="PT Astra Serif" w:hAnsi="PT Astra Serif"/>
          <w:i/>
          <w:sz w:val="26"/>
          <w:szCs w:val="26"/>
        </w:rPr>
      </w:pPr>
    </w:p>
    <w:p w:rsidR="00F8248D" w:rsidRPr="00D83D7B" w:rsidRDefault="00F8248D" w:rsidP="005E6F8C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D83D7B">
        <w:rPr>
          <w:rFonts w:ascii="PT Astra Serif" w:hAnsi="PT Astra Serif"/>
          <w:i/>
          <w:sz w:val="26"/>
          <w:szCs w:val="26"/>
        </w:rPr>
        <w:t>Статья 2</w:t>
      </w:r>
    </w:p>
    <w:p w:rsidR="00F8248D" w:rsidRPr="00D83D7B" w:rsidRDefault="00F8248D" w:rsidP="005E6F8C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5E6F8C" w:rsidRPr="00D83D7B" w:rsidRDefault="005E6F8C" w:rsidP="005E6F8C">
      <w:pPr>
        <w:tabs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Утвердить следующие показатели исполнения бюджета Фонда за 2024 год:</w:t>
      </w:r>
    </w:p>
    <w:p w:rsidR="005E6F8C" w:rsidRPr="00D83D7B" w:rsidRDefault="005E6F8C" w:rsidP="005E6F8C">
      <w:pPr>
        <w:tabs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1)</w:t>
      </w:r>
      <w:r w:rsidRPr="00D83D7B">
        <w:rPr>
          <w:rFonts w:ascii="PT Astra Serif" w:eastAsia="Times New Roman" w:hAnsi="PT Astra Serif"/>
          <w:sz w:val="28"/>
          <w:szCs w:val="28"/>
          <w:lang w:val="en-US" w:eastAsia="ru-RU"/>
        </w:rPr>
        <w:t>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доходы бюджета Фонда по кодам классификации доходов бюдж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е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тов за 2024 год согласно приложению 1 к настоящему Закону;</w:t>
      </w:r>
    </w:p>
    <w:p w:rsidR="005E6F8C" w:rsidRPr="00D83D7B" w:rsidRDefault="005E6F8C" w:rsidP="005E6F8C">
      <w:pPr>
        <w:tabs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2)</w:t>
      </w:r>
      <w:r w:rsidRPr="00D83D7B">
        <w:rPr>
          <w:rFonts w:ascii="PT Astra Serif" w:eastAsia="Times New Roman" w:hAnsi="PT Astra Serif"/>
          <w:sz w:val="28"/>
          <w:szCs w:val="28"/>
          <w:lang w:val="en-US" w:eastAsia="ru-RU"/>
        </w:rPr>
        <w:t>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расходы бюджета Фонда по разделам, подразделам, целевым стат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ь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ям, группам и подгруппам видов расходов за 2024 год согласно прилож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е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нию 2 к настоящему Закону;</w:t>
      </w:r>
    </w:p>
    <w:p w:rsidR="005E6F8C" w:rsidRPr="00D83D7B" w:rsidRDefault="005E6F8C" w:rsidP="005E6F8C">
      <w:pPr>
        <w:tabs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3)</w:t>
      </w:r>
      <w:r w:rsidRPr="00D83D7B">
        <w:rPr>
          <w:rFonts w:ascii="PT Astra Serif" w:eastAsia="Times New Roman" w:hAnsi="PT Astra Serif"/>
          <w:sz w:val="28"/>
          <w:szCs w:val="28"/>
          <w:lang w:val="en-US" w:eastAsia="ru-RU"/>
        </w:rPr>
        <w:t>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межбюджетные трансферты бюджету Фонда, получаемые из других бюджетов бюджетной системы Российской Федерации, в 2024 году согла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с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но приложению 3 к настоящему Закону;</w:t>
      </w:r>
    </w:p>
    <w:p w:rsidR="005E6F8C" w:rsidRPr="00D83D7B" w:rsidRDefault="005E6F8C" w:rsidP="005E6F8C">
      <w:pPr>
        <w:tabs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4)</w:t>
      </w:r>
      <w:r w:rsidRPr="00D83D7B">
        <w:rPr>
          <w:rFonts w:ascii="PT Astra Serif" w:eastAsia="Times New Roman" w:hAnsi="PT Astra Serif"/>
          <w:sz w:val="28"/>
          <w:szCs w:val="28"/>
          <w:lang w:val="en-US" w:eastAsia="ru-RU"/>
        </w:rPr>
        <w:t>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 xml:space="preserve"> межбюджетные трансферты из бюджета Фонда, передаваемые др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у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гим бюджетам бюджетной системы Российской Федерации, в 2024 году с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о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гласно приложению 4 к настоящему Закону;</w:t>
      </w:r>
    </w:p>
    <w:p w:rsidR="005E6F8C" w:rsidRPr="00D83D7B" w:rsidRDefault="005E6F8C" w:rsidP="005E6F8C">
      <w:pPr>
        <w:tabs>
          <w:tab w:val="left" w:pos="109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D83D7B">
        <w:rPr>
          <w:rFonts w:ascii="PT Astra Serif" w:eastAsia="Times New Roman" w:hAnsi="PT Astra Serif"/>
          <w:sz w:val="28"/>
          <w:szCs w:val="28"/>
          <w:lang w:eastAsia="ru-RU"/>
        </w:rPr>
        <w:t>5)</w:t>
      </w:r>
      <w:r w:rsidRPr="00D83D7B">
        <w:rPr>
          <w:rFonts w:ascii="PT Astra Serif" w:eastAsia="Times New Roman" w:hAnsi="PT Astra Serif"/>
          <w:sz w:val="28"/>
          <w:szCs w:val="28"/>
          <w:lang w:val="en-US" w:eastAsia="ru-RU"/>
        </w:rPr>
        <w:t> </w:t>
      </w:r>
      <w:r w:rsidRPr="00D83D7B">
        <w:rPr>
          <w:rFonts w:ascii="PT Astra Serif" w:eastAsia="Times New Roman" w:hAnsi="PT Astra Serif" w:cs="Times New Roman CYR"/>
          <w:sz w:val="28"/>
          <w:szCs w:val="28"/>
          <w:lang w:eastAsia="ru-RU"/>
        </w:rPr>
        <w:t>источники финансирования дефицита бюджета Фонда за 2024 год согласно приложению 5 к настоящему Закону.</w:t>
      </w:r>
    </w:p>
    <w:p w:rsidR="00F8248D" w:rsidRPr="00D83D7B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F8248D" w:rsidRPr="00D83D7B" w:rsidRDefault="00F8248D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D83D7B">
        <w:rPr>
          <w:rFonts w:ascii="PT Astra Serif" w:hAnsi="PT Astra Serif"/>
          <w:i/>
          <w:sz w:val="26"/>
          <w:szCs w:val="26"/>
        </w:rPr>
        <w:t>Статья 3</w:t>
      </w:r>
    </w:p>
    <w:p w:rsidR="00F8248D" w:rsidRPr="00D83D7B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F8248D" w:rsidRPr="00D83D7B" w:rsidRDefault="00F8248D" w:rsidP="00F8248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83D7B">
        <w:rPr>
          <w:rFonts w:ascii="PT Astra Serif" w:hAnsi="PT Astra Serif"/>
          <w:sz w:val="26"/>
          <w:szCs w:val="26"/>
        </w:rPr>
        <w:t>Настоящий Закон вступает в силу со дня его официального опубликования.</w:t>
      </w:r>
    </w:p>
    <w:p w:rsidR="00CA3EC7" w:rsidRPr="00F8248D" w:rsidRDefault="00CA3EC7" w:rsidP="003301A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0"/>
        </w:rPr>
      </w:pPr>
    </w:p>
    <w:sectPr w:rsidR="00CA3EC7" w:rsidRPr="00F8248D" w:rsidSect="00D83D7B">
      <w:headerReference w:type="default" r:id="rId9"/>
      <w:headerReference w:type="first" r:id="rId10"/>
      <w:pgSz w:w="12240" w:h="15840" w:code="1"/>
      <w:pgMar w:top="851" w:right="1325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EB" w:rsidRDefault="00EC56EB" w:rsidP="0073084E">
      <w:pPr>
        <w:spacing w:after="0" w:line="240" w:lineRule="auto"/>
      </w:pPr>
      <w:r>
        <w:separator/>
      </w:r>
    </w:p>
  </w:endnote>
  <w:endnote w:type="continuationSeparator" w:id="0">
    <w:p w:rsidR="00EC56EB" w:rsidRDefault="00EC56EB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EB" w:rsidRDefault="00EC56EB" w:rsidP="0073084E">
      <w:pPr>
        <w:spacing w:after="0" w:line="240" w:lineRule="auto"/>
      </w:pPr>
      <w:r>
        <w:separator/>
      </w:r>
    </w:p>
  </w:footnote>
  <w:footnote w:type="continuationSeparator" w:id="0">
    <w:p w:rsidR="00EC56EB" w:rsidRDefault="00EC56EB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58411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48D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C7" w:rsidRPr="00CA3EC7" w:rsidRDefault="00CA3EC7" w:rsidP="00CA3EC7">
    <w:pPr>
      <w:overflowPunct w:val="0"/>
      <w:autoSpaceDE w:val="0"/>
      <w:autoSpaceDN w:val="0"/>
      <w:adjustRightInd w:val="0"/>
      <w:spacing w:after="0" w:line="240" w:lineRule="auto"/>
      <w:ind w:firstLine="720"/>
      <w:jc w:val="right"/>
      <w:textAlignment w:val="baseline"/>
      <w:rPr>
        <w:rFonts w:ascii="Times New Roman" w:eastAsia="Times New Roman" w:hAnsi="Times New Roman" w:cs="Times New Roman"/>
        <w:sz w:val="28"/>
        <w:szCs w:val="20"/>
        <w:lang w:eastAsia="ru-RU"/>
      </w:rPr>
    </w:pPr>
    <w:r w:rsidRPr="00CA3EC7">
      <w:rPr>
        <w:rFonts w:ascii="Times New Roman" w:eastAsia="Times New Roman" w:hAnsi="Times New Roman" w:cs="Times New Roman"/>
        <w:bCs/>
        <w:iCs/>
        <w:sz w:val="28"/>
        <w:szCs w:val="28"/>
        <w:lang w:eastAsia="ru-RU"/>
      </w:rPr>
      <w:t>ПРОЕКТ</w:t>
    </w:r>
  </w:p>
  <w:p w:rsidR="00CA3EC7" w:rsidRPr="00CA3EC7" w:rsidRDefault="00CA3EC7" w:rsidP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E514C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3A2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2F3E5E"/>
    <w:rsid w:val="00314343"/>
    <w:rsid w:val="00315F76"/>
    <w:rsid w:val="0032383B"/>
    <w:rsid w:val="0032596A"/>
    <w:rsid w:val="00325F04"/>
    <w:rsid w:val="003301A2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08B7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E6F8C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5F79"/>
    <w:rsid w:val="007C7034"/>
    <w:rsid w:val="007D3840"/>
    <w:rsid w:val="007D398B"/>
    <w:rsid w:val="007E12F8"/>
    <w:rsid w:val="007E3CFE"/>
    <w:rsid w:val="007E6E74"/>
    <w:rsid w:val="007F2390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0B11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56613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3D7B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56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248D"/>
    <w:rsid w:val="00F86DEF"/>
    <w:rsid w:val="00F90540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26C7-25AF-4E00-BAE8-2DA40ADDC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10</cp:revision>
  <cp:lastPrinted>2019-03-06T11:29:00Z</cp:lastPrinted>
  <dcterms:created xsi:type="dcterms:W3CDTF">2019-03-06T12:54:00Z</dcterms:created>
  <dcterms:modified xsi:type="dcterms:W3CDTF">2025-05-30T12:36:00Z</dcterms:modified>
</cp:coreProperties>
</file>