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F99" w:rsidRDefault="00FC2C24">
      <w:pPr>
        <w:jc w:val="center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Пояснительная записка </w:t>
      </w:r>
    </w:p>
    <w:p w:rsidR="00900F99" w:rsidRDefault="00FC2C24">
      <w:pPr>
        <w:jc w:val="center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к проекту закона Саратовской области </w:t>
      </w:r>
    </w:p>
    <w:p w:rsidR="00900F99" w:rsidRDefault="00FC2C24">
      <w:pPr>
        <w:jc w:val="center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«Об исполнении </w:t>
      </w:r>
      <w:proofErr w:type="gramStart"/>
      <w:r>
        <w:rPr>
          <w:rFonts w:ascii="PT Astra Serif" w:hAnsi="PT Astra Serif"/>
          <w:b/>
          <w:szCs w:val="28"/>
        </w:rPr>
        <w:t>областного</w:t>
      </w:r>
      <w:proofErr w:type="gramEnd"/>
      <w:r>
        <w:rPr>
          <w:rFonts w:ascii="PT Astra Serif" w:hAnsi="PT Astra Serif"/>
          <w:b/>
          <w:szCs w:val="28"/>
        </w:rPr>
        <w:t xml:space="preserve"> бюджета за 2024 год»</w:t>
      </w:r>
    </w:p>
    <w:p w:rsidR="00900F99" w:rsidRDefault="00900F99">
      <w:pPr>
        <w:ind w:firstLine="697"/>
        <w:jc w:val="both"/>
        <w:rPr>
          <w:rFonts w:ascii="PT Astra Serif" w:hAnsi="PT Astra Serif"/>
          <w:szCs w:val="28"/>
        </w:rPr>
      </w:pPr>
    </w:p>
    <w:p w:rsidR="00900F99" w:rsidRDefault="00FC2C24">
      <w:pPr>
        <w:ind w:firstLine="709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>Исполнение областного бюджета на 1 января 2025 года характеризуется следующими основными параметрами:</w:t>
      </w:r>
    </w:p>
    <w:p w:rsidR="00900F99" w:rsidRDefault="00FC2C24">
      <w:pPr>
        <w:ind w:firstLine="709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 xml:space="preserve">объем доходов – 192326,4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рублей, или 101% годовых назначений (уточненные бюджетные назначения на год – 190383,2 млн рублей); </w:t>
      </w:r>
    </w:p>
    <w:p w:rsidR="00900F99" w:rsidRDefault="00FC2C24">
      <w:pPr>
        <w:ind w:firstLine="709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 xml:space="preserve">объем расходов – 185226,8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рублей, или 95,5% годовых назначений (уточненные бюджетные назначения на год – 193874,6 млн рублей);</w:t>
      </w:r>
    </w:p>
    <w:p w:rsidR="003A4A73" w:rsidRDefault="003A4A73">
      <w:pPr>
        <w:ind w:firstLine="709"/>
        <w:jc w:val="both"/>
        <w:rPr>
          <w:rFonts w:ascii="PT Astra Serif" w:eastAsia="Calibri" w:hAnsi="PT Astra Serif"/>
          <w:szCs w:val="28"/>
        </w:rPr>
      </w:pPr>
      <w:r w:rsidRPr="003A4A73">
        <w:rPr>
          <w:rFonts w:ascii="PT Astra Serif" w:eastAsia="Calibri" w:hAnsi="PT Astra Serif"/>
          <w:szCs w:val="28"/>
        </w:rPr>
        <w:t xml:space="preserve">превышение доходов над расходами – 7099,6 </w:t>
      </w:r>
      <w:proofErr w:type="gramStart"/>
      <w:r w:rsidRPr="003A4A73">
        <w:rPr>
          <w:rFonts w:ascii="PT Astra Serif" w:eastAsia="Calibri" w:hAnsi="PT Astra Serif"/>
          <w:szCs w:val="28"/>
        </w:rPr>
        <w:t>млн</w:t>
      </w:r>
      <w:proofErr w:type="gramEnd"/>
      <w:r w:rsidRPr="003A4A73">
        <w:rPr>
          <w:rFonts w:ascii="PT Astra Serif" w:eastAsia="Calibri" w:hAnsi="PT Astra Serif"/>
          <w:szCs w:val="28"/>
        </w:rPr>
        <w:t xml:space="preserve"> рублей.</w:t>
      </w:r>
    </w:p>
    <w:p w:rsidR="00900F99" w:rsidRDefault="00FC2C24">
      <w:pPr>
        <w:ind w:firstLine="697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 xml:space="preserve">По итогам 2024 года объем налоговых и неналоговых доходов областного бюджета составил 133004,9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 и относительно 2023 года увеличился на 20095,3 млн рублей, или на 17,8%. Уточненные бюджетные назначения исполнены на 101,6%.</w:t>
      </w:r>
    </w:p>
    <w:p w:rsidR="00900F99" w:rsidRDefault="00FC2C24">
      <w:pPr>
        <w:ind w:firstLine="697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 xml:space="preserve">Налоговые доходы в областной бюджет поступили в объеме                     126585,8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 с ростом на 15,8% к 2023 году. </w:t>
      </w:r>
    </w:p>
    <w:p w:rsidR="00900F99" w:rsidRDefault="00FC2C24">
      <w:pPr>
        <w:ind w:firstLine="697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 xml:space="preserve">Объем налога на прибыль организаций составил за 2024 год                 42955,7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 </w:t>
      </w:r>
      <w:r>
        <w:rPr>
          <w:rFonts w:ascii="PT Astra Serif" w:eastAsia="Calibri" w:hAnsi="PT Astra Serif"/>
          <w:szCs w:val="28"/>
          <w:lang w:val="en-US"/>
        </w:rPr>
        <w:t>c</w:t>
      </w:r>
      <w:r>
        <w:rPr>
          <w:rFonts w:ascii="PT Astra Serif" w:eastAsia="Calibri" w:hAnsi="PT Astra Serif"/>
          <w:szCs w:val="28"/>
        </w:rPr>
        <w:t xml:space="preserve"> ростом относительно 2023 года на 3951,5 млн рублей, или на 10,1%. </w:t>
      </w:r>
    </w:p>
    <w:p w:rsidR="00900F99" w:rsidRDefault="00FC2C24">
      <w:pPr>
        <w:ind w:firstLine="697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 xml:space="preserve">Налог на доходы физических лиц поступил в областной бюджет в сумме 44670,5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рублей.</w:t>
      </w:r>
    </w:p>
    <w:p w:rsidR="00900F99" w:rsidRDefault="00FC2C24">
      <w:pPr>
        <w:ind w:firstLine="697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>Также за 2024 год с положительной динамикой сложилось поступление по следующим налоговым доходам:</w:t>
      </w:r>
    </w:p>
    <w:p w:rsidR="00900F99" w:rsidRDefault="00FC2C24">
      <w:pPr>
        <w:ind w:firstLine="697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 xml:space="preserve">доходы от акцизов – 15175,2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рублей, с ростом относительно уровня 2023 года на 7,2%;</w:t>
      </w:r>
    </w:p>
    <w:p w:rsidR="00900F99" w:rsidRDefault="00FC2C24">
      <w:pPr>
        <w:ind w:firstLine="697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 xml:space="preserve">налог на имущество организаций – 10841,9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рублей, что на                 838,3 млн рублей, или 8,4% выше уровня 2023 года;</w:t>
      </w:r>
    </w:p>
    <w:p w:rsidR="00900F99" w:rsidRDefault="00FC2C24">
      <w:pPr>
        <w:ind w:firstLine="697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 xml:space="preserve">налоги на совокупный доход – 12435,9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рублей, что на 3536,9 млн рублей, или 39,6% выше уровня 2023 года. </w:t>
      </w:r>
    </w:p>
    <w:p w:rsidR="00900F99" w:rsidRDefault="00FC2C24">
      <w:pPr>
        <w:ind w:firstLine="697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 xml:space="preserve">Поступление налога на добычу полезных ископаемых составило                234,8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 со снижением относительно 2023 года на 9,4 млн рублей, или на 3,8%.</w:t>
      </w:r>
    </w:p>
    <w:p w:rsidR="00900F99" w:rsidRDefault="00FC2C24">
      <w:pPr>
        <w:ind w:firstLine="697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 xml:space="preserve">Объем неналоговых доходов областного бюджета за 2024 год составил 6419,1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рублей, с ростом в 1,8 раза относительно 2023 года.</w:t>
      </w:r>
    </w:p>
    <w:p w:rsidR="00900F99" w:rsidRDefault="00FC2C24">
      <w:pPr>
        <w:ind w:firstLine="697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 xml:space="preserve">Наибольший прирост по неналоговым доходам сложился в части доходов от оказания платных услуг и компенсациям затрат государства, платежи по которым увеличились на 1677,5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рублей, или в 4,8 раза. В целом поступление по ним составило за 2024 год 2122,8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рублей.</w:t>
      </w:r>
    </w:p>
    <w:p w:rsidR="00900F99" w:rsidRDefault="00FC2C24">
      <w:pPr>
        <w:ind w:firstLine="697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 xml:space="preserve">Доходы от использования имущества, находящегося в государственной и муниципальной собственности, сложились в сумме 1489,2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рублей, с ростом относительно 2023 года на 546,5 млн рублей, или в 1,6 раза, в том числе доходы от операций по управлению остатками средств на едином казначейском счете возросли на 466,6 млн рублей </w:t>
      </w:r>
      <w:r>
        <w:rPr>
          <w:rFonts w:ascii="PT Astra Serif" w:hAnsi="PT Astra Serif"/>
          <w:szCs w:val="28"/>
        </w:rPr>
        <w:t xml:space="preserve">– </w:t>
      </w:r>
      <w:r>
        <w:rPr>
          <w:rFonts w:ascii="PT Astra Serif" w:eastAsia="Calibri" w:hAnsi="PT Astra Serif"/>
          <w:szCs w:val="28"/>
        </w:rPr>
        <w:t>до 1348,5 млн рублей.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lastRenderedPageBreak/>
        <w:t xml:space="preserve">Безвозмездные поступления на 1 января 2025 года сложились в общей сумме 59321,5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рублей. 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Из федерального бюджета поступило 55534,2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бюджета Пенсионного фонда Российской Федерации – 5,1 млн рублей, от публично-правовой компании «Фонд развития территорий» – 1183,3 млн рублей (на обеспечение мероприятий по переселению граждан из аварийного жилищного фонда – 920,6 млн рублей, на предоставление единовременной выплаты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г. Херсона и части Херсонской области – 262,7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рублей), прочие безвозмездные поступления – 3246,0 млн рублей. Наибольший удельный вес в безвозмездных поступлениях занимают субсидии – 46%.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Общий объем расходов по сравнению с фактом за аналогичный период 2023 года увеличился на 4,3%. На обеспечение отраслей социальной сферы направлено 112 474,5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или 60,7% от общих расходов областного бюджета.</w:t>
      </w:r>
    </w:p>
    <w:p w:rsidR="00900F99" w:rsidRDefault="00FC2C24">
      <w:pPr>
        <w:ind w:firstLine="709"/>
        <w:jc w:val="both"/>
        <w:rPr>
          <w:rFonts w:eastAsia="Calibri"/>
          <w:sz w:val="24"/>
        </w:rPr>
      </w:pPr>
      <w:r>
        <w:rPr>
          <w:rFonts w:ascii="PT Astra Serif" w:eastAsia="Calibri" w:hAnsi="PT Astra Serif"/>
          <w:szCs w:val="28"/>
        </w:rPr>
        <w:t xml:space="preserve">Публичные нормативные обязательства исполнены в сумме 9862,6 </w:t>
      </w:r>
      <w:proofErr w:type="gramStart"/>
      <w:r>
        <w:rPr>
          <w:rFonts w:ascii="PT Astra Serif" w:eastAsia="Calibri" w:hAnsi="PT Astra Serif"/>
          <w:szCs w:val="28"/>
        </w:rPr>
        <w:t>млн</w:t>
      </w:r>
      <w:proofErr w:type="gramEnd"/>
      <w:r>
        <w:rPr>
          <w:rFonts w:ascii="PT Astra Serif" w:eastAsia="Calibri" w:hAnsi="PT Astra Serif"/>
          <w:szCs w:val="28"/>
        </w:rPr>
        <w:t xml:space="preserve"> рублей. По состоянию на 1 января 2025 года просроченной кредиторской задолженности по публичным нормативным обязательствам не имеется. 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Исполнение по расходным обязательствам областного бюджета, финансовое обеспечение которых осуществлялось за счет целевых средств, составило 38053,7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или 20,5% общих расходов.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Расходы на содержание органов государственной власти области (без учета расходов на исполнение переданных полномочий Российской Федерации) за 2024 год составили 2,1% от доходов консолидированного бюджета области, учитываемых для расчета норматива (при нормативе 3,9%, утвержденном распоряжением Правительства Российской Федерации от </w:t>
      </w:r>
      <w:r w:rsidR="006261E4">
        <w:rPr>
          <w:rFonts w:ascii="PT Astra Serif" w:hAnsi="PT Astra Serif"/>
          <w:szCs w:val="28"/>
        </w:rPr>
        <w:t xml:space="preserve">          </w:t>
      </w:r>
      <w:r>
        <w:rPr>
          <w:rFonts w:ascii="PT Astra Serif" w:hAnsi="PT Astra Serif"/>
          <w:szCs w:val="28"/>
        </w:rPr>
        <w:t xml:space="preserve">29 декабря 2023 года № 4027-р). 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Межбюджетные трансферты местным бюджетам перечислены в общей сумме 67790,5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 (95,8 % от уточненных годовых бюджетных назначений), в том числе за счет собственных средств областного бюджета – 52673,6 млн рублей, за счет соответствующих межбюджетных трансфертов из федерального бюджета (включая дотации) – 12460,9 млн рублей, за счет поступлений от публично-правовой компании «Фонд развития территорий» – 1130,8 млн рублей, за счет средств других бюджетов бюджетной системы – 1525,2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рублей.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В 2024 году межбюджетные трансферты </w:t>
      </w:r>
      <w:proofErr w:type="gramStart"/>
      <w:r>
        <w:rPr>
          <w:rFonts w:ascii="PT Astra Serif" w:hAnsi="PT Astra Serif"/>
          <w:szCs w:val="28"/>
        </w:rPr>
        <w:t>из</w:t>
      </w:r>
      <w:proofErr w:type="gramEnd"/>
      <w:r>
        <w:rPr>
          <w:rFonts w:ascii="PT Astra Serif" w:hAnsi="PT Astra Serif"/>
          <w:szCs w:val="28"/>
        </w:rPr>
        <w:t xml:space="preserve"> областного бюджета предоставлялись в следующих формах: 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субвенции – 29214,9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 (43,1% общего объема межбюджетных трансфертов); 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субсидии – 19888,1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 (29,3% общего объема межбюджетных трансфертов);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иные межбюджетные трансферты – 12996,9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 (19,2% от общего объема межбюджетных трансфертов);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lastRenderedPageBreak/>
        <w:t xml:space="preserve">дотации – 5690,6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 (8,4% от общего объема межбюджетных трансфертов).</w:t>
      </w:r>
    </w:p>
    <w:p w:rsidR="00900F99" w:rsidRDefault="00FC2C24">
      <w:pPr>
        <w:ind w:firstLine="70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За счет бюджетных ассигнований областного дорожного фонда израсходовано 19044,1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 (93,5% годовых бюджетных назначений), что на 8,5% меньше, чем в 2023 году (факт за 2023 год составлял                         20808,1 млн рублей).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На реализацию государственных программ Саратовской области направлено 173954,0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рублей.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С начала 2024 года объем государственного долга области снизился на 4152,3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 и по состоянию на 1 января 2025 года составил                58363,2 млн рублей, или 43,9% к фактическим поступлениям по налоговым и неналоговым доходам областного бюджета на 2024 год (30,0% с учетом допустимых превышений). Структура государственного долга области состоит полностью из бюджетных кредитов, привлеченных из федерального бюджета со ставками 0,1 и 3 процента годовых. Банковские заимствования для покрытия дефицита не привлекались. 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Изменение государственного долга в 2024 году обусловлено: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погашением за счет межбюджетных трансфертов казначейских бюджетных кредитов (в общей сумме 2943,3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рублей);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погашением за счет собственных средств инфраструктурного бюджетного кредита и реструктуризированной задолженности (в общей сумме 609,0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рублей), а также государственных ценных бумаг (в сумме                       2000,0 млн рублей);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привлечением инфраструктурного бюджетного кредита (в сумме          1399,9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рублей).</w:t>
      </w:r>
    </w:p>
    <w:p w:rsidR="00900F99" w:rsidRDefault="00FC2C24">
      <w:pPr>
        <w:ind w:firstLine="69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Фактические расходы на обслуживание государственного долга области за 2024 год составили 384,1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что на 23,2 млн рублей, или 5,7% ниже, чем за предыдущий год. </w:t>
      </w:r>
    </w:p>
    <w:p w:rsidR="00900F99" w:rsidRDefault="00FC2C24">
      <w:pPr>
        <w:ind w:firstLine="709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eastAsia="Calibri" w:hAnsi="PT Astra Serif"/>
          <w:szCs w:val="28"/>
        </w:rPr>
        <w:t xml:space="preserve">Параметры дефицита областного бюджета, государственного долга и расходов на его обслуживание соответствуют требованиям бюджетного законодательства и условиям заключенных соглашений с Министерством финансов Российской Федерации. </w:t>
      </w:r>
    </w:p>
    <w:p w:rsidR="00900F99" w:rsidRDefault="00900F99">
      <w:pPr>
        <w:ind w:firstLine="697"/>
        <w:jc w:val="both"/>
        <w:rPr>
          <w:rFonts w:ascii="PT Astra Serif" w:hAnsi="PT Astra Serif"/>
          <w:color w:val="000000" w:themeColor="text1"/>
          <w:szCs w:val="28"/>
          <w:highlight w:val="yellow"/>
        </w:rPr>
      </w:pPr>
    </w:p>
    <w:p w:rsidR="00900F99" w:rsidRDefault="00FC2C24">
      <w:pPr>
        <w:rPr>
          <w:rFonts w:ascii="PT Astra Serif" w:hAnsi="PT Astra Serif"/>
          <w:b/>
          <w:color w:val="FFFFFF" w:themeColor="background1"/>
          <w:szCs w:val="28"/>
        </w:rPr>
      </w:pPr>
      <w:r>
        <w:rPr>
          <w:rFonts w:ascii="PT Astra Serif" w:hAnsi="PT Astra Serif"/>
          <w:b/>
          <w:color w:val="FFFFFF" w:themeColor="background1"/>
          <w:szCs w:val="28"/>
        </w:rPr>
        <w:t xml:space="preserve">Мини финансов </w:t>
      </w:r>
    </w:p>
    <w:p w:rsidR="00900F99" w:rsidRDefault="00FC2C24">
      <w:pPr>
        <w:rPr>
          <w:rFonts w:ascii="PT Astra Serif" w:hAnsi="PT Astra Serif"/>
          <w:b/>
          <w:color w:val="FFFFFF" w:themeColor="background1"/>
          <w:szCs w:val="28"/>
        </w:rPr>
      </w:pPr>
      <w:r>
        <w:rPr>
          <w:rFonts w:ascii="PT Astra Serif" w:eastAsia="PT Astra Serif" w:hAnsi="PT Astra Serif" w:cs="PT Astra Serif"/>
          <w:b/>
        </w:rPr>
        <w:t xml:space="preserve">Министр финансов </w:t>
      </w:r>
      <w:bookmarkStart w:id="0" w:name="_GoBack"/>
      <w:bookmarkEnd w:id="0"/>
      <w:r>
        <w:rPr>
          <w:rFonts w:ascii="PT Astra Serif" w:eastAsia="PT Astra Serif" w:hAnsi="PT Astra Serif" w:cs="PT Astra Serif"/>
          <w:b/>
        </w:rPr>
        <w:br/>
        <w:t>Саратовской области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                                И.С. Бегинина</w:t>
      </w:r>
    </w:p>
    <w:sectPr w:rsidR="00900F99">
      <w:headerReference w:type="even" r:id="rId8"/>
      <w:headerReference w:type="default" r:id="rId9"/>
      <w:pgSz w:w="11906" w:h="16838"/>
      <w:pgMar w:top="1134" w:right="851" w:bottom="1134" w:left="1701" w:header="397" w:footer="1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F99" w:rsidRDefault="00FC2C24">
      <w:r>
        <w:separator/>
      </w:r>
    </w:p>
  </w:endnote>
  <w:endnote w:type="continuationSeparator" w:id="0">
    <w:p w:rsidR="00900F99" w:rsidRDefault="00FC2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F99" w:rsidRDefault="00FC2C24">
      <w:r>
        <w:separator/>
      </w:r>
    </w:p>
  </w:footnote>
  <w:footnote w:type="continuationSeparator" w:id="0">
    <w:p w:rsidR="00900F99" w:rsidRDefault="00FC2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F99" w:rsidRDefault="00FC2C24">
    <w:pPr>
      <w:pStyle w:val="ac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900F99" w:rsidRDefault="00900F9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F99" w:rsidRDefault="00FC2C24">
    <w:pPr>
      <w:pStyle w:val="ac"/>
      <w:framePr w:wrap="around" w:vAnchor="text" w:hAnchor="margin" w:xAlign="center" w:y="1"/>
      <w:rPr>
        <w:rStyle w:val="afa"/>
        <w:sz w:val="27"/>
        <w:szCs w:val="27"/>
      </w:rPr>
    </w:pPr>
    <w:r>
      <w:rPr>
        <w:rStyle w:val="afa"/>
        <w:sz w:val="27"/>
        <w:szCs w:val="27"/>
      </w:rPr>
      <w:fldChar w:fldCharType="begin"/>
    </w:r>
    <w:r>
      <w:rPr>
        <w:rStyle w:val="afa"/>
        <w:sz w:val="27"/>
        <w:szCs w:val="27"/>
      </w:rPr>
      <w:instrText xml:space="preserve">PAGE  </w:instrText>
    </w:r>
    <w:r>
      <w:rPr>
        <w:rStyle w:val="afa"/>
        <w:sz w:val="27"/>
        <w:szCs w:val="27"/>
      </w:rPr>
      <w:fldChar w:fldCharType="separate"/>
    </w:r>
    <w:r w:rsidR="006261E4">
      <w:rPr>
        <w:rStyle w:val="afa"/>
        <w:noProof/>
        <w:sz w:val="27"/>
        <w:szCs w:val="27"/>
      </w:rPr>
      <w:t>3</w:t>
    </w:r>
    <w:r>
      <w:rPr>
        <w:rStyle w:val="afa"/>
        <w:sz w:val="27"/>
        <w:szCs w:val="27"/>
      </w:rPr>
      <w:fldChar w:fldCharType="end"/>
    </w:r>
  </w:p>
  <w:p w:rsidR="00900F99" w:rsidRDefault="00900F9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F99"/>
    <w:rsid w:val="003A4A73"/>
    <w:rsid w:val="006261E4"/>
    <w:rsid w:val="00900F99"/>
    <w:rsid w:val="00FC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</w:style>
  <w:style w:type="character" w:styleId="afa">
    <w:name w:val="page number"/>
    <w:basedOn w:val="a0"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c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</w:style>
  <w:style w:type="character" w:styleId="afa">
    <w:name w:val="page number"/>
    <w:basedOn w:val="a0"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c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F9EE6-A827-4FBC-AA0A-BF2561BF2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1045</Words>
  <Characters>5958</Characters>
  <Application>Microsoft Office Word</Application>
  <DocSecurity>0</DocSecurity>
  <Lines>49</Lines>
  <Paragraphs>13</Paragraphs>
  <ScaleCrop>false</ScaleCrop>
  <Company>Министерство финансов Саратовской области</Company>
  <LinksUpToDate>false</LinksUpToDate>
  <CharactersWithSpaces>6990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Уполовникова С.Г.</dc:creator>
  <cp:lastModifiedBy>Федоров Дмитрий Владимирович</cp:lastModifiedBy>
  <cp:revision>6</cp:revision>
  <dcterms:created xsi:type="dcterms:W3CDTF">2025-05-13T06:38:00Z</dcterms:created>
  <dcterms:modified xsi:type="dcterms:W3CDTF">2025-05-13T07:32:00Z</dcterms:modified>
</cp:coreProperties>
</file>