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B97" w:rsidRPr="00206B97" w:rsidRDefault="00206B97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206B97" w:rsidRPr="00206B97" w:rsidRDefault="00206B97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от 27 сентября 2018 г. N 538-П</w:t>
      </w:r>
    </w:p>
    <w:p w:rsidR="00206B97" w:rsidRPr="00206B97" w:rsidRDefault="00206B97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ОБ ИСПОЛНЕНИИ ОТДЕЛЬНЫХ ОБЯЗАТЕЛЬСТВ, УСТАНОВЛЕННЫХ</w:t>
      </w:r>
    </w:p>
    <w:p w:rsidR="00206B97" w:rsidRPr="00206B97" w:rsidRDefault="00206B97" w:rsidP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СОГЛАШЕНИЕМ О МЕРАХ ПО СОЦИАЛЬНО-ЭКОНОМИЧЕСКОМУ РАЗВИТИЮ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И ОЗДОРОВЛЕНИЮ ГОСУДАРСТВЕННЫХ ФИНАНСОВ САРАТОВСКОЙ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ОТ 8 ФЕВРАЛЯ 2018 ГОДА N 01-01-06/06-40, ЗАКЛЮЧЕННОГО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МЕЖДУ МИНИСТЕРСТВОМ ФИНАНСОВ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И ГУБЕРНАТОРОМ САРАТОВСКОЙ ОБЛАСТИ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6B97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5" w:history="1">
        <w:r w:rsidRPr="00206B97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30 декабря 2017 года N 1701 "О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Федерации" и пункта 2.1.2 Соглашения о мерах по социально-экономическому развитию и оздоровлению государственных финансов Саратовской области от 8 февраля 2018 года N 01-01-06/06-40, заключенного между Министерством финансов Российской Федерации и Губернатором области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>, Правительство области постановляет: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w:anchor="P31" w:history="1">
        <w:r w:rsidRPr="00206B97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о реализации мероприятий, направленных на рост доходного потенциала области и оптимизацию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самоуправления, определенных в порядке, установленном постановлением Правительства Российской Федерации от 22 ноября 2004 года N 670 "О распределении дотаций на выравнивание бюджетной обеспеченности субъектов Российской Федерации", на 2018 - 2021 годы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Губернатор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В.В.РАДАЕВ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от 27 сентября 2018 г. N 538-П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1"/>
      <w:bookmarkEnd w:id="0"/>
      <w:r w:rsidRPr="00206B97">
        <w:rPr>
          <w:rFonts w:ascii="Times New Roman" w:hAnsi="Times New Roman" w:cs="Times New Roman"/>
          <w:sz w:val="24"/>
          <w:szCs w:val="24"/>
        </w:rPr>
        <w:t>ПОЛОЖЕНИЕ</w:t>
      </w: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О РЕАЛИЗАЦИИ МЕРОПРИЯТИЙ, НАПРАВЛЕННЫХ НА РОСТ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ДОХОДНОГО</w:t>
      </w:r>
      <w:proofErr w:type="gramEnd"/>
    </w:p>
    <w:p w:rsidR="00206B97" w:rsidRDefault="00206B97" w:rsidP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ПОТЕНЦИАЛА ОБЛАСТИ И ОПТИМИЗАЦИЮ РАСХОДОВ КОНСОЛИДИРОВАННОГО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 xml:space="preserve">БЮДЖЕТА ОБЛАСТИ ДО УРОВНЯ РАСЧЕТНЫХ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ОБЪЕМОВ РАСХОДНЫХ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ОБЯЗАТЕЛЬСТВ БЮДЖЕТОВ СУБЪЕКТОВ РОССИЙСКОЙ ФЕДЕРАЦИИ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И ОРГАНОВ МЕСТНОГО САМОУПРАВЛЕНИЯ, ОПРЕДЕЛЕННЫХ В ПОРЯДКЕ,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УСТАНОВЛЕННОМ ПОСТАНОВЛЕНИЕМ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ФЕДЕРАЦИИ ОТ 22 НОЯБРЯ 2004 ГОДА N 670 "О РАСПРЕДЕЛЕНИИ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ДОТАЦИЙ НА ВЫРАВНИВАНИЕ БЮДЖЕТНОЙ ОБЕСПЕЧЕННОСТИ СУБЪЕКТОВ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 xml:space="preserve">РОССИЙСКОЙ ФЕДЕРАЦИИ", </w:t>
      </w:r>
    </w:p>
    <w:p w:rsidR="00206B97" w:rsidRPr="00206B97" w:rsidRDefault="00206B97" w:rsidP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НА 2018 - 2021 ГОДЫ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6B97">
        <w:rPr>
          <w:rFonts w:ascii="Times New Roman" w:hAnsi="Times New Roman" w:cs="Times New Roman"/>
          <w:sz w:val="24"/>
          <w:szCs w:val="24"/>
        </w:rPr>
        <w:t xml:space="preserve">Положение о реализации мероприятий, направленных на рост доходного потенциала области и оптимизацию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самоуправления, определенных в порядке, установленном </w:t>
      </w:r>
      <w:hyperlink r:id="rId6" w:history="1">
        <w:r w:rsidRPr="00206B9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22 ноября 2004 года N 670 "О распределении дотаций на выравнивание бюджетной обеспеченности субъектов Российской Федерации", на 2018 - 2020 годы (далее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Положение) разработано в целях развития отдельных направлений бюджетной политики Саратовской области, ориентированных на социально-экономическое и финансовое оздоровление области в целях укрепления устойчивости бюджетной системы.</w:t>
      </w:r>
      <w:proofErr w:type="gramEnd"/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6B97">
        <w:rPr>
          <w:rFonts w:ascii="Times New Roman" w:hAnsi="Times New Roman" w:cs="Times New Roman"/>
          <w:sz w:val="24"/>
          <w:szCs w:val="24"/>
        </w:rPr>
        <w:t>Положение интегрирует в себе действующие в настоящий момент планы мероприятий и программы, направленные на рост доходного потенциала Саратовской области и оптимизацию расходных обязательств Саратовской области, и определяет дальнейшие основные направления деятельности органов исполнительной власти области в целях создания условий для результативного управления государственными финансами области и повышения эффективности использования бюджетных средств путем осуществления мер, направленных на социально-экономическое развитие области в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финансовой и бюджетной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сферах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, мобилизацию доходов, оптимизацию и </w:t>
      </w: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приоритизацию</w:t>
      </w:r>
      <w:proofErr w:type="spellEnd"/>
      <w:r w:rsidRPr="00206B97">
        <w:rPr>
          <w:rFonts w:ascii="Times New Roman" w:hAnsi="Times New Roman" w:cs="Times New Roman"/>
          <w:sz w:val="24"/>
          <w:szCs w:val="24"/>
        </w:rPr>
        <w:t xml:space="preserve"> расходов консолидированного бюджета Саратовской области на период до 2021 года.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II. Характеристика текущей ситуации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С 2011 года Саратовской областью последовательно проводится оптимизация расходных обязательств в рамках исполнения утвержденных постановлением Правительства Саратовской области от 29 марта 2011 года N 165-П "Об исполнении условий заключенных Соглашений" </w:t>
      </w:r>
      <w:hyperlink r:id="rId7" w:history="1">
        <w:r w:rsidRPr="00206B97">
          <w:rPr>
            <w:rFonts w:ascii="Times New Roman" w:hAnsi="Times New Roman" w:cs="Times New Roman"/>
            <w:sz w:val="24"/>
            <w:szCs w:val="24"/>
          </w:rPr>
          <w:t>планов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мероприятий, направленных на повышение доходов, сокращение расходов и государственного долга области в целях оздоровления государственных финансов Саратовской области.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6B97">
        <w:rPr>
          <w:rFonts w:ascii="Times New Roman" w:hAnsi="Times New Roman" w:cs="Times New Roman"/>
          <w:sz w:val="24"/>
          <w:szCs w:val="24"/>
        </w:rPr>
        <w:t xml:space="preserve">На основании рекомендаций, сформированных выездной Рабочей группой Министерства финансов Российской Федерации по разработке программы оздоровления государственных финансов Саратовской области, постановлением Правительства Саратовской области от 8 июня 2016 года N 280-П утвержден в новой редакции </w:t>
      </w:r>
      <w:hyperlink r:id="rId8" w:history="1">
        <w:r w:rsidRPr="00206B97">
          <w:rPr>
            <w:rFonts w:ascii="Times New Roman" w:hAnsi="Times New Roman" w:cs="Times New Roman"/>
            <w:sz w:val="24"/>
            <w:szCs w:val="24"/>
          </w:rPr>
          <w:t>План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lastRenderedPageBreak/>
        <w:t>мероприятий по росту доходов бюджета,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 (далее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План мероприятий по оздоровлению).</w:t>
      </w:r>
      <w:proofErr w:type="gramEnd"/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Основными направлениями реализации Плана мероприятий по оздоровлению являются: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увеличение налоговых и неналоговых доходов, сокращение недоимки по уплате налогов в консолидированный бюджет Саратовской области в рамках реализации </w:t>
      </w:r>
      <w:hyperlink r:id="rId9" w:history="1">
        <w:r w:rsidRPr="00206B97">
          <w:rPr>
            <w:rFonts w:ascii="Times New Roman" w:hAnsi="Times New Roman" w:cs="Times New Roman"/>
            <w:sz w:val="24"/>
            <w:szCs w:val="24"/>
          </w:rPr>
          <w:t>Плана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мероприятий по повышению налоговых и неналоговых доходов, сокращению недоимки по уплате налогов в консолидированный бюджет Саратовской области, утвержденного постановлением Правительства Саратовской области от 29 марта 2011 года N 165-П;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сокращение просроченной кредиторской задолженности консолидированного бюджета Саратовской области за счет мобилизации внутренних резервов в рамках реализации </w:t>
      </w:r>
      <w:hyperlink r:id="rId10" w:history="1">
        <w:r w:rsidRPr="00206B97">
          <w:rPr>
            <w:rFonts w:ascii="Times New Roman" w:hAnsi="Times New Roman" w:cs="Times New Roman"/>
            <w:sz w:val="24"/>
            <w:szCs w:val="24"/>
          </w:rPr>
          <w:t>Плана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мероприятий по сокращению просроченной кредиторской задолженности консолидированного бюджета Саратовской области, утвержденного постановлением Правительства Саратовской области от 29 марта 2011 года N 165-П;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последовательное снижение дефицита бюджета при сокращении расходов за счет: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6B97">
        <w:rPr>
          <w:rFonts w:ascii="Times New Roman" w:hAnsi="Times New Roman" w:cs="Times New Roman"/>
          <w:sz w:val="24"/>
          <w:szCs w:val="24"/>
        </w:rPr>
        <w:t>1) оптимизации расходов на содержание органов государственной власти области и подведомственных им областных государственных учреждений, в том числе за счет сокращения численности работников, исключения дублирования действий, ликвидации (реорганизации) неэффективных учреждений, установления обоснованных выплат стимулирующего характера, структурирования фондов оплаты труда с учетом оптимального соотношения административно-управленческого и вспомогательного персонала и основного персонала, внедрения энергосберегающих технологий;</w:t>
      </w:r>
      <w:proofErr w:type="gramEnd"/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2) повышения адресности при предоставлении мер социальной поддержки отдельным категориям граждан;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3) повышения эффективности управленческих расходов в муниципальных образованиях, в том числе за счет передачи административного обеспечения поселений органам местного самоуправления муниципальных районов, перевода работы глав муниципальных районов, городских и сельских поселений с численностью населения до 50,0 тыс. человек на безвозмездную основу, исключения дублирования выполняемых функций;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осуществление мероприятий по реструктуризации обязательств, в том числе за счет снижения процентных ставок по привлеченным кредитным ресурсам и замещения банковских заимствований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бюджетными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>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отказ от предоставления государственных гарантий Саратовской области.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Вышеуказанные векторы процессов сокращения обязательств области соответствуют направлениям оптимизации, рекомендованным Министерством финансов Российской Федерации для всех субъектов Российской Федерации в рамках "модельного" плана оздоровления региональных финансов.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6B97">
        <w:rPr>
          <w:rFonts w:ascii="Times New Roman" w:hAnsi="Times New Roman" w:cs="Times New Roman"/>
          <w:sz w:val="24"/>
          <w:szCs w:val="24"/>
        </w:rPr>
        <w:t xml:space="preserve">В дополнение к Плану мероприятий по оздоровлению в соответствии с </w:t>
      </w:r>
      <w:hyperlink r:id="rId11" w:history="1">
        <w:r w:rsidRPr="00206B9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27 декабря 2016 года N 1506 "О соглашениях, заключаемых Министерством финансов Российской Федерации с высшими должностными лицами субъектов Российской Федерации (руководителями высших исполнительных органов государственной власти субъектов Российской Федерации), </w:t>
      </w:r>
      <w:r w:rsidRPr="00206B97">
        <w:rPr>
          <w:rFonts w:ascii="Times New Roman" w:hAnsi="Times New Roman" w:cs="Times New Roman"/>
          <w:sz w:val="24"/>
          <w:szCs w:val="24"/>
        </w:rPr>
        <w:lastRenderedPageBreak/>
        <w:t>получающих дотации на выравнивание бюджетной обеспеченности субъектов Российской Федерации, и мерах ответственности за невыполнение субъектом Российской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 xml:space="preserve">Федерации обязательств, возникающих из указанных соглашений" в 2017 году была разработана и распоряжением Правительства Саратовской области от 31 марта 2017 года N 74-Пр утверждена </w:t>
      </w:r>
      <w:hyperlink r:id="rId12" w:history="1">
        <w:r w:rsidRPr="00206B97">
          <w:rPr>
            <w:rFonts w:ascii="Times New Roman" w:hAnsi="Times New Roman" w:cs="Times New Roman"/>
            <w:sz w:val="24"/>
            <w:szCs w:val="24"/>
          </w:rPr>
          <w:t>Программа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оптимизации расходов областного бюджета на 2017 - 2019 годы (далее - Программа), содержащая конкретные мероприятия по оптимизации бюджетной сети (реорганизация в форме присоединения учреждений, ликвидация неэффективных организаций, передача областных организаций в федеральную или муниципальную собственность), аппарата управления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и приостановлению исполнения отдельных обязательств (индексации оплаты труда и отдельных видов расходов, ранее не представляемых мер социальной поддержки) (далее - Программа оптимизации).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В результате системной работы Правительства области по оздоровлению региональных финансов произошли определенные изменения в финансово-бюджетной сфере региона.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Объем государственного долга области уменьшен в 2016 - 2017 годах на 74,7 млн. рублей и составил на 1 января 2018 года 50,3 млрд. рублей со снижением доли рыночных заимствований до 48,1 процента (против 80,5 процента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1 января 2012 года).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Для удешевления долгового портфеля проведены выпуск и размещение государственных ценных бумаг (с фиксированным купонным доходом 8,1 процента годовых в сумме 5 млрд. рублей или 9,9 процента в структуре долга), достигнута договоренность о снижении процентных ставок по банковским кредитам.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Суммарная экономия расходов на обслуживание долга за 2017 год составила 1,3 млрд. рублей. Улучшился показатель соотношения объема государственного долга с налоговыми и неналоговыми доходами областного бюджета (83,3 процента по факту за 2017 год против 89,6 процента за 2016 год и 101,5 процента за 2015 год).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Налоговые и неналоговые доходы консолидированного бюджета области выросли к уровню 2011 года более чем на 24 млрд. рублей или почти в 1,5 раза (в сопоставимых условиях), половина из которых приросла в последние два года. По большинству доходных источников сложилась опережающая динамика в сравнении с субъектами Российской Федерации, входящими в состав Приволжского федерального округа, а по отдельным показателям - и по отношению к среднероссийскому уровню. По темпам роста налоговых и неналоговых доходов консолидированного бюджета в 2017 году (7,3 процента) область заняла четвертое место в ПФО (5,8 процента) и тридцать второе - по России (8,4 процента).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Реализация мер по оптимизации расходов в 2012 - 2017 годах дала совокупный бюджетный эффект почти в 20 млрд. рублей, в том числе в 2017 году - 3,2 млрд. рублей, из них за счет оптимизации долгового портфеля - 1,3 млрд. рублей.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Значимым итогом этой работы стало исполнение в 2017 году, впервые с 2003 года, консолидированного бюджета области с профицитом в 0,7 млрд. рублей (по областному бюджету в 2017 году профицит составил 2,4 млрд. рублей, в 2016 году - 541,3 млн. рублей). При этом удалось практически полностью ликвидировать просроченную кредиторскую задолженность по областному бюджету и сократить почти в 2 раза ее сумму по местным бюджетам (в том числе за счет дополнительной финансовой помощи из федерального бюджета).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В области стабильно исполняются социально значимые обязательства, в требуемом объеме направляются средства на достижение федеральных ориентиров по повышению заработной платы, включая муниципальный уровень.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lastRenderedPageBreak/>
        <w:t>Реализуются меры по поддержанию финансовой устойчивости местных бюджетов. В течение 2017 года на эти цели было направлено дополнительно 8 млрд. рублей (с ростом 43 процента к первоначальным назначениям). Кроме того, проведена реструктуризация с частичным списанием задолженности муниципалитетов перед областным бюджетом на сумму свыше 1 млрд. рублей.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Бюджетная консолидация позволяет соблюдать показатели по всем параметрам бюджета региона, регулируемым бюджетным законодательством.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Информация об основных показателях исполнения консолидированного бюджета Саратовской области в динамике за 2012 - 2017 годы приведена в следующей таблице: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Основные показатели</w:t>
      </w: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исполнения консолидированного бюджета Саратовской области</w:t>
      </w: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за 2012 - 2017 годы, млн. рублей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49"/>
        <w:tblW w:w="10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1304"/>
        <w:gridCol w:w="1247"/>
        <w:gridCol w:w="1304"/>
        <w:gridCol w:w="1247"/>
        <w:gridCol w:w="1247"/>
        <w:gridCol w:w="1134"/>
      </w:tblGrid>
      <w:tr w:rsidR="00206B97" w:rsidRPr="00206B97" w:rsidTr="00206B97">
        <w:tc>
          <w:tcPr>
            <w:tcW w:w="3039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2012 год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2013 год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13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</w:tr>
      <w:tr w:rsidR="00206B97" w:rsidRPr="00206B97" w:rsidTr="00206B97">
        <w:tc>
          <w:tcPr>
            <w:tcW w:w="3039" w:type="dxa"/>
          </w:tcPr>
          <w:p w:rsidR="00206B97" w:rsidRPr="00206B97" w:rsidRDefault="00206B97" w:rsidP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Доходы - всего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79177,7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79631,1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82709,6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86999,3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93142,7</w:t>
            </w:r>
          </w:p>
        </w:tc>
        <w:tc>
          <w:tcPr>
            <w:tcW w:w="113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99722,3</w:t>
            </w:r>
          </w:p>
        </w:tc>
      </w:tr>
      <w:tr w:rsidR="00206B97" w:rsidRPr="00206B97" w:rsidTr="00206B97">
        <w:tc>
          <w:tcPr>
            <w:tcW w:w="3039" w:type="dxa"/>
          </w:tcPr>
          <w:p w:rsidR="00206B97" w:rsidRPr="00206B97" w:rsidRDefault="00206B97" w:rsidP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в том числе налоговые и неналоговые доходы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59479,1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59695,1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62601,4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64507,0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71383,9</w:t>
            </w:r>
          </w:p>
        </w:tc>
        <w:tc>
          <w:tcPr>
            <w:tcW w:w="113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76609,1</w:t>
            </w:r>
          </w:p>
        </w:tc>
      </w:tr>
      <w:tr w:rsidR="00206B97" w:rsidRPr="00206B97" w:rsidTr="00206B97">
        <w:tc>
          <w:tcPr>
            <w:tcW w:w="3039" w:type="dxa"/>
          </w:tcPr>
          <w:p w:rsidR="00206B97" w:rsidRPr="00206B97" w:rsidRDefault="00206B97" w:rsidP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Расходы - всего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86990,5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87683,9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87912,5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92718,0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93205,2</w:t>
            </w:r>
          </w:p>
        </w:tc>
        <w:tc>
          <w:tcPr>
            <w:tcW w:w="113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98987,5</w:t>
            </w:r>
          </w:p>
        </w:tc>
      </w:tr>
      <w:tr w:rsidR="00206B97" w:rsidRPr="00206B97" w:rsidTr="00206B97">
        <w:tc>
          <w:tcPr>
            <w:tcW w:w="3039" w:type="dxa"/>
          </w:tcPr>
          <w:p w:rsidR="00206B97" w:rsidRPr="00206B97" w:rsidRDefault="00206B97" w:rsidP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в том числе расходы на обслуживание долга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2922,7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2963,3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3172,8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3841,0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3863,2</w:t>
            </w:r>
          </w:p>
        </w:tc>
        <w:tc>
          <w:tcPr>
            <w:tcW w:w="113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3246,7</w:t>
            </w:r>
          </w:p>
        </w:tc>
      </w:tr>
      <w:tr w:rsidR="00206B97" w:rsidRPr="00206B97" w:rsidTr="00206B97">
        <w:tc>
          <w:tcPr>
            <w:tcW w:w="3039" w:type="dxa"/>
          </w:tcPr>
          <w:p w:rsidR="00206B97" w:rsidRPr="00206B97" w:rsidRDefault="00206B97" w:rsidP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Дефицит</w:t>
            </w:r>
            <w:proofErr w:type="gramStart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 (-)/</w:t>
            </w:r>
            <w:proofErr w:type="gramEnd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профицит (+)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-7812,8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-8052,8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-5202,9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-5718,7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-62,5</w:t>
            </w:r>
          </w:p>
        </w:tc>
        <w:tc>
          <w:tcPr>
            <w:tcW w:w="113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734,8</w:t>
            </w:r>
          </w:p>
        </w:tc>
      </w:tr>
      <w:tr w:rsidR="00206B97" w:rsidRPr="00206B97" w:rsidTr="00206B97">
        <w:tc>
          <w:tcPr>
            <w:tcW w:w="3039" w:type="dxa"/>
          </w:tcPr>
          <w:p w:rsidR="00206B97" w:rsidRPr="00206B97" w:rsidRDefault="00206B97" w:rsidP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Объем государственного долга области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37914,7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44322,4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47716,7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50404,8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50337,9</w:t>
            </w:r>
          </w:p>
        </w:tc>
        <w:tc>
          <w:tcPr>
            <w:tcW w:w="113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50330,1</w:t>
            </w:r>
          </w:p>
        </w:tc>
      </w:tr>
      <w:tr w:rsidR="00206B97" w:rsidRPr="00206B97" w:rsidTr="00206B97">
        <w:tc>
          <w:tcPr>
            <w:tcW w:w="3039" w:type="dxa"/>
          </w:tcPr>
          <w:p w:rsidR="00206B97" w:rsidRPr="00206B97" w:rsidRDefault="00206B97" w:rsidP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Объем муниципального долга области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5528,8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6629,3</w:t>
            </w:r>
          </w:p>
        </w:tc>
        <w:tc>
          <w:tcPr>
            <w:tcW w:w="130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7818,4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8604,3</w:t>
            </w:r>
          </w:p>
        </w:tc>
        <w:tc>
          <w:tcPr>
            <w:tcW w:w="1247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10264,8</w:t>
            </w:r>
          </w:p>
        </w:tc>
        <w:tc>
          <w:tcPr>
            <w:tcW w:w="1134" w:type="dxa"/>
          </w:tcPr>
          <w:p w:rsidR="00206B97" w:rsidRPr="00206B97" w:rsidRDefault="00206B97" w:rsidP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9250,9</w:t>
            </w:r>
          </w:p>
        </w:tc>
      </w:tr>
    </w:tbl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II. Цели и задачи на среднесрочную перспективу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Основной целью настоящего Положения является активизация работы по оздоровлению государственных финансов Саратовской области на период до 2021 года включительно.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Достижение поставленной цели будет осуществляться посредством решения следующих задач: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1) сохранение устойчивости бюджетной системы области;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2) развитие налогооблагаемой базы для увеличения поступлений налоговых и неналоговых доходов в консолидированный бюджет области;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3) оптимизация расходов на функционирование аппаратов государственной и муниципальной службы, включая мероприятия по передаче неспецифичных функций подведомственным учреждениям и (или) иным юридическим лицам на основании </w:t>
      </w:r>
      <w:r w:rsidRPr="00206B97">
        <w:rPr>
          <w:rFonts w:ascii="Times New Roman" w:hAnsi="Times New Roman" w:cs="Times New Roman"/>
          <w:sz w:val="24"/>
          <w:szCs w:val="24"/>
        </w:rPr>
        <w:lastRenderedPageBreak/>
        <w:t>договора;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4) оптимизация расходов на содержание бюджетной сети;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5) оптимизация мер социальной поддержки;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6) совершенствование межбюджетных отношений в Саратовской области;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7) оптимизация инвестиционных расходов, механизма предоставления субсидий юридическим и физическим лицам, индивидуальным предпринимателям;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8) ликвидация (минимизация) дебиторской и просроченной кредиторской задолженности;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9) соблюдение целевых ориентиров по соотношениям объема государственного долга области и его рыночной составляющей к объему доходов без учета безвозмездных поступлений, установленных в заключенных с Министерством финансов Российской Федерации соглашениях, приостановление (замедление) наращивания муниципального долга;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10) </w:t>
      </w: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206B97">
        <w:rPr>
          <w:rFonts w:ascii="Times New Roman" w:hAnsi="Times New Roman" w:cs="Times New Roman"/>
          <w:sz w:val="24"/>
          <w:szCs w:val="24"/>
        </w:rPr>
        <w:t xml:space="preserve"> и неисполнение расходных обязательств области, не связанных с решением вопросов, отнесенных </w:t>
      </w:r>
      <w:hyperlink r:id="rId13" w:history="1">
        <w:r w:rsidRPr="00206B97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федеральными законами к полномочиям органов государственной власти субъектов Российской Федерации.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IV. Основные направления мероприятий</w:t>
      </w: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на среднесрочную перспективу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Основными направлениями мероприятий, проводимых в рамках настоящего Положения, являются: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1) увеличение поступлений налоговых и неналоговых доходов консолидированного бюджета области;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2) оптимизация расходов консолидированного бюджета области;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3) сокращение долговых обязательств области.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6B97">
        <w:rPr>
          <w:rFonts w:ascii="Times New Roman" w:hAnsi="Times New Roman" w:cs="Times New Roman"/>
          <w:sz w:val="24"/>
          <w:szCs w:val="24"/>
        </w:rPr>
        <w:t xml:space="preserve">Данные направления будут реализовываться в рамках продолжения исполнения Плана мероприятий по оздоровлению и Программы оптимизации, а также реализации Дополнительного </w:t>
      </w:r>
      <w:hyperlink w:anchor="P240" w:history="1">
        <w:r w:rsidRPr="00206B97">
          <w:rPr>
            <w:rFonts w:ascii="Times New Roman" w:hAnsi="Times New Roman" w:cs="Times New Roman"/>
            <w:sz w:val="24"/>
            <w:szCs w:val="24"/>
          </w:rPr>
          <w:t>плана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мероприятий по росту доходного потенциала области и 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самоуправления, определенных в порядке, установленном </w:t>
      </w:r>
      <w:hyperlink r:id="rId14" w:history="1">
        <w:r w:rsidRPr="00206B9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22 ноября 2004 года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N 670 "О распределении дотаций на выравнивание бюджетной обеспеченности субъектов Российской Федерации" на 2018 - 2021 годы (далее - Дополнительный план мероприятий), приведенному в приложении N 1 к настоящему Положению.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V. Ожидаемые результаты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Реализация Плана мероприятий по оздоровлению, Программы оптимизации и Дополнительного плана мероприятий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позволит достигнуть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следующие показатели оздоровления консолидированного бюджета области: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обеспечить устойчивость бюджетной системы области, необходимую для </w:t>
      </w:r>
      <w:r w:rsidRPr="00206B97">
        <w:rPr>
          <w:rFonts w:ascii="Times New Roman" w:hAnsi="Times New Roman" w:cs="Times New Roman"/>
          <w:sz w:val="24"/>
          <w:szCs w:val="24"/>
        </w:rPr>
        <w:lastRenderedPageBreak/>
        <w:t>безусловного исполнения действующих социально значимых обязательств области;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повысить качество управления государственными и муниципальными финансами, эффективность и результативность бюджетных расходов;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6B97">
        <w:rPr>
          <w:rFonts w:ascii="Times New Roman" w:hAnsi="Times New Roman" w:cs="Times New Roman"/>
          <w:sz w:val="24"/>
          <w:szCs w:val="24"/>
        </w:rPr>
        <w:t xml:space="preserve">обеспечить </w:t>
      </w: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неувеличение</w:t>
      </w:r>
      <w:proofErr w:type="spellEnd"/>
      <w:r w:rsidRPr="00206B97">
        <w:rPr>
          <w:rFonts w:ascii="Times New Roman" w:hAnsi="Times New Roman" w:cs="Times New Roman"/>
          <w:sz w:val="24"/>
          <w:szCs w:val="24"/>
        </w:rPr>
        <w:t xml:space="preserve"> долговой нагрузки на областной и местные бюджеты;</w:t>
      </w:r>
      <w:proofErr w:type="gramEnd"/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сократить расходы по обслуживанию долговых обязательств.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Целевые </w:t>
      </w:r>
      <w:hyperlink w:anchor="P425" w:history="1">
        <w:r w:rsidRPr="00206B97">
          <w:rPr>
            <w:rFonts w:ascii="Times New Roman" w:hAnsi="Times New Roman" w:cs="Times New Roman"/>
            <w:sz w:val="24"/>
            <w:szCs w:val="24"/>
          </w:rPr>
          <w:t>индикаторы</w:t>
        </w:r>
      </w:hyperlink>
      <w:r w:rsidRPr="00206B97">
        <w:rPr>
          <w:rFonts w:ascii="Times New Roman" w:hAnsi="Times New Roman" w:cs="Times New Roman"/>
          <w:sz w:val="24"/>
          <w:szCs w:val="24"/>
        </w:rPr>
        <w:t xml:space="preserve"> реализации Дополнительного плана мероприятий приведены в приложении N 2 к настоящему Положению.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VI. Оценка результатов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Оценка результатов, полученных в рамках реализации Плана мероприятий по оздоровлению, Программы оптимизации и Дополнительного плана мероприятий, осуществляется министерством финансов области ежеквартально (по оперативным данным), а также ежегодно (по данным годового отчета) на основании показателей результативности исполнения указанных мероприятий и степени достижения установленных целевых индикаторов.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В целях формирования ежеквартальных отчетов: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ответственные исполнители Плана мероприятий по оздоровлению, Программы оптимизации и Дополнительного плана мероприятий не позднее 10 числа месяца, следующего за отчетным кварталом, представляют в министерство финансов области отчеты о реализации вышеуказанных планов по форме, установленной министерством финансов области;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министерство финансов области не позднее 20 числа месяца, следующего за отчетным кварталом, на основании представленных данных, а также на основании иной отчетности, имеющейся в министерстве финансов области, формирует ежеквартальные (промежуточные) отчеты о реализации Плана мероприятий по оздоровлению, Программы оптимизации и Дополнительного плана мероприятий.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В целях формирования ежегодного отчета: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ответственные исполнители Плана мероприятий по оздоровлению, Программы оптимизации и Дополнительного плана мероприятий и установленных целевых индикаторов не позднее 1 марта года, следующего за отчетным годом, представляют в министерство финансов области годовые отчеты о реализации вышеуказанных планов по форме, установленной министерством финансов области;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министерство финансов области не позднее 1 апреля года, следующего за отчетным годом, на основании представленных данных, а также на основании иной отчетности, имеющейся в министерстве финансов области, формирует годовой отчет за прошедший финансовый год о реализации Плана мероприятий по оздоровлению, Программы оптимизации, Дополнительного плана мероприятий и достижении целевых индикаторов.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Результативность выполнения Плана мероприятий по оздоровлению, Программы оптимизации, Дополнительного плана мероприятий оценивается по следующей формуле: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position w:val="-56"/>
          <w:sz w:val="24"/>
          <w:szCs w:val="24"/>
        </w:rPr>
        <w:lastRenderedPageBreak/>
        <w:pict>
          <v:shape id="_x0000_i1025" style="width:303.9pt;height:66.15pt" coordsize="" o:spt="100" adj="0,,0" path="" filled="f" stroked="f">
            <v:stroke joinstyle="miter"/>
            <v:imagedata r:id="rId15" o:title="base_23910_114944_32768"/>
            <v:formulas/>
            <v:path o:connecttype="segments"/>
          </v:shape>
        </w:pic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6B9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- значение показателя результативности реализации программных мероприятий (по каждой программе (плану) отдельно), процентов;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n - количество мероприятий, имеющих цифровое значение финансовой оценки, ед.;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m - количество мероприятий, не имеющих цифрового значения финансовой оценки, ед.;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Ф(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>факт)</w:t>
      </w:r>
      <w:r w:rsidRPr="00206B97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206B97">
        <w:rPr>
          <w:rFonts w:ascii="Times New Roman" w:hAnsi="Times New Roman" w:cs="Times New Roman"/>
          <w:sz w:val="24"/>
          <w:szCs w:val="24"/>
        </w:rPr>
        <w:t xml:space="preserve"> - фактическое значение исполнения i-</w:t>
      </w: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06B97">
        <w:rPr>
          <w:rFonts w:ascii="Times New Roman" w:hAnsi="Times New Roman" w:cs="Times New Roman"/>
          <w:sz w:val="24"/>
          <w:szCs w:val="24"/>
        </w:rPr>
        <w:t xml:space="preserve"> мероприятия, имеющего цифровое значение финансовой оценки, за отчетный год (в единице измерения соответствующей программы (плана);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Ф(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>план)</w:t>
      </w:r>
      <w:r w:rsidRPr="00206B97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206B97">
        <w:rPr>
          <w:rFonts w:ascii="Times New Roman" w:hAnsi="Times New Roman" w:cs="Times New Roman"/>
          <w:sz w:val="24"/>
          <w:szCs w:val="24"/>
        </w:rPr>
        <w:t xml:space="preserve"> - плановое значение исполнения i-</w:t>
      </w: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06B97">
        <w:rPr>
          <w:rFonts w:ascii="Times New Roman" w:hAnsi="Times New Roman" w:cs="Times New Roman"/>
          <w:sz w:val="24"/>
          <w:szCs w:val="24"/>
        </w:rPr>
        <w:t xml:space="preserve"> мероприятия, имеющего цифровое значение финансовой оценки, на отчетный год (в единице измерения соответствующей программы (плана);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ВЫ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>факт)</w:t>
      </w:r>
      <w:r w:rsidRPr="00206B97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206B97">
        <w:rPr>
          <w:rFonts w:ascii="Times New Roman" w:hAnsi="Times New Roman" w:cs="Times New Roman"/>
          <w:sz w:val="24"/>
          <w:szCs w:val="24"/>
        </w:rPr>
        <w:t xml:space="preserve"> - фактическое значение исполнения k-</w:t>
      </w: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06B97">
        <w:rPr>
          <w:rFonts w:ascii="Times New Roman" w:hAnsi="Times New Roman" w:cs="Times New Roman"/>
          <w:sz w:val="24"/>
          <w:szCs w:val="24"/>
        </w:rPr>
        <w:t xml:space="preserve"> мероприятия, не имеющего цифрового значения финансовой оценки, за отчетный год, принимающее следующие значения: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1, если мероприятие выполнено;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0, если мероприятие не выполнено.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Степень достижения установленных целевых </w:t>
      </w:r>
      <w:hyperlink w:anchor="P425" w:history="1">
        <w:r w:rsidRPr="00206B97">
          <w:rPr>
            <w:rFonts w:ascii="Times New Roman" w:hAnsi="Times New Roman" w:cs="Times New Roman"/>
            <w:sz w:val="24"/>
            <w:szCs w:val="24"/>
          </w:rPr>
          <w:t>индикаторов</w:t>
        </w:r>
      </w:hyperlink>
      <w:r w:rsidRPr="00206B97">
        <w:rPr>
          <w:rFonts w:ascii="Times New Roman" w:hAnsi="Times New Roman" w:cs="Times New Roman"/>
          <w:sz w:val="24"/>
          <w:szCs w:val="24"/>
        </w:rPr>
        <w:t>, указанных в приложении N 2 к настоящему Положению, оценивается по формуле: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position w:val="-40"/>
          <w:sz w:val="24"/>
          <w:szCs w:val="24"/>
        </w:rPr>
        <w:pict>
          <v:shape id="_x0000_i1026" style="width:200.1pt;height:50.25pt" coordsize="" o:spt="100" adj="0,,0" path="" filled="f" stroked="f">
            <v:stroke joinstyle="miter"/>
            <v:imagedata r:id="rId16" o:title="base_23910_114944_32769"/>
            <v:formulas/>
            <v:path o:connecttype="segments"/>
          </v:shape>
        </w:pic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06B97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- степень достижения установленных целевых индикаторов, %;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s - количество целевых индикаторов, ед.;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По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206B9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>факт)</w:t>
      </w:r>
      <w:r w:rsidRPr="00206B97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6B97">
        <w:rPr>
          <w:rFonts w:ascii="Times New Roman" w:hAnsi="Times New Roman" w:cs="Times New Roman"/>
          <w:sz w:val="24"/>
          <w:szCs w:val="24"/>
        </w:rPr>
        <w:t xml:space="preserve"> - фактическое значение p-</w:t>
      </w: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06B97">
        <w:rPr>
          <w:rFonts w:ascii="Times New Roman" w:hAnsi="Times New Roman" w:cs="Times New Roman"/>
          <w:sz w:val="24"/>
          <w:szCs w:val="24"/>
        </w:rPr>
        <w:t xml:space="preserve"> целевого индикатора за отчетный год (в ед. измерения соответствующего целевого индикатора);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По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206B9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>план)</w:t>
      </w:r>
      <w:r w:rsidRPr="00206B97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6B97">
        <w:rPr>
          <w:rFonts w:ascii="Times New Roman" w:hAnsi="Times New Roman" w:cs="Times New Roman"/>
          <w:sz w:val="24"/>
          <w:szCs w:val="24"/>
        </w:rPr>
        <w:t xml:space="preserve"> - плановое значение p-</w:t>
      </w: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06B97">
        <w:rPr>
          <w:rFonts w:ascii="Times New Roman" w:hAnsi="Times New Roman" w:cs="Times New Roman"/>
          <w:sz w:val="24"/>
          <w:szCs w:val="24"/>
        </w:rPr>
        <w:t xml:space="preserve"> целевого индикатора на отчетный год (в единице измерения соответствующего целевого индикатора);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Вес</w:t>
      </w:r>
      <w:proofErr w:type="gramStart"/>
      <w:r w:rsidRPr="00206B97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- вес (значимость) p-</w:t>
      </w:r>
      <w:proofErr w:type="spellStart"/>
      <w:r w:rsidRPr="00206B97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06B97">
        <w:rPr>
          <w:rFonts w:ascii="Times New Roman" w:hAnsi="Times New Roman" w:cs="Times New Roman"/>
          <w:sz w:val="24"/>
          <w:szCs w:val="24"/>
        </w:rPr>
        <w:t xml:space="preserve"> целевого </w:t>
      </w:r>
      <w:hyperlink w:anchor="P425" w:history="1">
        <w:r w:rsidRPr="00206B97">
          <w:rPr>
            <w:rFonts w:ascii="Times New Roman" w:hAnsi="Times New Roman" w:cs="Times New Roman"/>
            <w:sz w:val="24"/>
            <w:szCs w:val="24"/>
          </w:rPr>
          <w:t>индикатора</w:t>
        </w:r>
      </w:hyperlink>
      <w:r w:rsidRPr="00206B97">
        <w:rPr>
          <w:rFonts w:ascii="Times New Roman" w:hAnsi="Times New Roman" w:cs="Times New Roman"/>
          <w:sz w:val="24"/>
          <w:szCs w:val="24"/>
        </w:rPr>
        <w:t>, установленный в приложении N 2 к настоящему Положению, ед.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lastRenderedPageBreak/>
        <w:t>Критерии</w:t>
      </w: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оценки эффективности реализации мероприятий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3"/>
        <w:gridCol w:w="2891"/>
      </w:tblGrid>
      <w:tr w:rsidR="00206B97" w:rsidRPr="00206B97">
        <w:tc>
          <w:tcPr>
            <w:tcW w:w="6123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результативности (P), степени достижения установленных целевых индикаторов (</w:t>
            </w:r>
            <w:proofErr w:type="spellStart"/>
            <w:proofErr w:type="gramStart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Оценка реализации</w:t>
            </w:r>
          </w:p>
        </w:tc>
      </w:tr>
      <w:tr w:rsidR="00206B97" w:rsidRPr="00206B97">
        <w:tc>
          <w:tcPr>
            <w:tcW w:w="6123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более 85 процентов</w:t>
            </w:r>
          </w:p>
        </w:tc>
        <w:tc>
          <w:tcPr>
            <w:tcW w:w="28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высокая (эффективная)</w:t>
            </w:r>
          </w:p>
        </w:tc>
      </w:tr>
      <w:tr w:rsidR="00206B97" w:rsidRPr="00206B97">
        <w:tc>
          <w:tcPr>
            <w:tcW w:w="6123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от 50 до 85 процентов</w:t>
            </w:r>
          </w:p>
        </w:tc>
        <w:tc>
          <w:tcPr>
            <w:tcW w:w="28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средняя (нормальная)</w:t>
            </w:r>
          </w:p>
        </w:tc>
      </w:tr>
      <w:tr w:rsidR="00206B97" w:rsidRPr="00206B97">
        <w:tc>
          <w:tcPr>
            <w:tcW w:w="6123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менее 50 процентов</w:t>
            </w:r>
          </w:p>
        </w:tc>
        <w:tc>
          <w:tcPr>
            <w:tcW w:w="28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низкая (не эффективная)</w:t>
            </w:r>
          </w:p>
        </w:tc>
      </w:tr>
    </w:tbl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Результаты оценки реализации Плана мероприятий по оздоровлению, Программы оптимизации и Дополнительного плана мероприятий ежегодно, до 15 апреля года, следующего за отчетным годом, представляются в Министерство финансов Российской Федерации и публикуются на портале "Открытый бюджет Саратовской области".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VII. Анализ рисков исполнения мероприятий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Основные риски, которые могут возникнуть в ходе реализации Плана мероприятий по оздоровлению, Программы оптимизации и Дополнительного плана мероприятий, можно сгруппировать по двум блокам: внешние, не зависящие от деятельности органов государственной власти области, и внутренние, являющиеся следствием деятельности органов государственной власти области.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К внешним рискам относятся: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изменение норм федерального законодательства, влекущее за собой снижение доходов и (или) увеличение расходов консолидированного бюджета Саратовской области, без адекватной компенсации выпадающих доходов (дополнительных расходов) из федерального бюджета;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6B97">
        <w:rPr>
          <w:rFonts w:ascii="Times New Roman" w:hAnsi="Times New Roman" w:cs="Times New Roman"/>
          <w:sz w:val="24"/>
          <w:szCs w:val="24"/>
        </w:rPr>
        <w:t>непредвиденные риски, связанные с ухудшением общей макроэкономической ситуации в стране и мире, приводящие к резким колебаниям на фондовых рынках, удорожанию привлечения заемных средств, а также возможными кризисными явлениями в экономике области, природными и техногенными катастрофами, стихийными бедствиями, что может привести к повышению инфляции, снижению темпов экономического роста и доходов населения и бюджета, потребовать осуществления непредвиденных дополнительных расходов.</w:t>
      </w:r>
      <w:proofErr w:type="gramEnd"/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предельность (ограниченность) в проведении оптимизации бюджетной сети, других мероприятий по оптимизации бюджетных расходов, так как возникают риски снижения доступности для населения государственных и муниципальных услуг, ухудшения качества и количества их предоставления, усиления социальной напряженности в обществе. Снижению указанных рисков будет способствовать нахождение разумного баланса интересов путем организации общественного обсуждения предлагаемых изменений;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недостаточная заинтересованность главных администраторов доходов бюджета Саратовской области в увеличении поступлений налоговых и неналоговых доходов бюджета Саратовской области. Снижению указанных рисков будет способствовать доведение заданий по мобилизации доходов до главных администраторов доходов </w:t>
      </w:r>
      <w:r w:rsidRPr="00206B97">
        <w:rPr>
          <w:rFonts w:ascii="Times New Roman" w:hAnsi="Times New Roman" w:cs="Times New Roman"/>
          <w:sz w:val="24"/>
          <w:szCs w:val="24"/>
        </w:rPr>
        <w:lastRenderedPageBreak/>
        <w:t xml:space="preserve">бюджета Саратовской области,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их выполнением;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организационные риски, связанные с ошибками управления реализацией мероприятий, в том числе отдельных ее исполнителей, что может привести к неэффективному использованию бюджетных средств, невыполнению ряда мероприятий или временной задержке их выполнения. В целях смягчения негативных последствий данных рисков необходима координация деятельности всех исполнителей и соисполнителей, курирующих вопросы реализации мероприятий Плана мероприятий по оздоровлению, Программы оптимизации и Дополнительного плана мероприятий, а также повышение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ответственности сотрудников органов исполнительной власти области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за своевременную и эффективную реализацию запланированных мероприятий.</w:t>
      </w:r>
    </w:p>
    <w:p w:rsidR="00206B97" w:rsidRPr="00206B97" w:rsidRDefault="00206B9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Принятие мер по управлению рисками реализации Плана мероприятий по оздоровлению, Программы оптимизации и Дополнительного плана мероприятий осуществляется в процессе мониторинга их реализации и оценки результативности и степени достижения установленных целевых индикаторов.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206B97">
          <w:pgSz w:w="11905" w:h="16838"/>
          <w:pgMar w:top="1134" w:right="850" w:bottom="1134" w:left="1701" w:header="0" w:footer="0" w:gutter="0"/>
          <w:cols w:space="720"/>
        </w:sectPr>
      </w:pPr>
    </w:p>
    <w:p w:rsidR="00206B97" w:rsidRP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к Положению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 реализации мероприятий, направленных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на рост доходного потенциала области и оптимизацию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расходов консолидированного бюджета области до уровня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расчетных объемов расходных обязательств бюджетов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субъектов Российской Федерации и органов местного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самоуправления,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определенных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в порядке, установленном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от 22 ноября 2004 года N 670 "О распределении дотаций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на выравнивание бюджетной обеспеченности субъектов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Российской Федерации", на 2018 - 2021 годы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40"/>
      <w:bookmarkEnd w:id="1"/>
      <w:r w:rsidRPr="00206B97">
        <w:rPr>
          <w:rFonts w:ascii="Times New Roman" w:hAnsi="Times New Roman" w:cs="Times New Roman"/>
          <w:sz w:val="24"/>
          <w:szCs w:val="24"/>
        </w:rPr>
        <w:t>ДОПОЛНИТЕЛЬНЫЙ ПЛАН</w:t>
      </w:r>
    </w:p>
    <w:p w:rsidR="00206B97" w:rsidRPr="00206B97" w:rsidRDefault="00206B97" w:rsidP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МЕРОПРИЯТИЙ ПО РОСТУ ДОХОДНОГО ПОТЕНЦИАЛА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И ПО ОПТИМИЗАЦИИ РАСХОДОВ КОНСОЛИДИРОВАННОГО БЮДЖЕТА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 xml:space="preserve">ДО УРОВНЯ РАСЧЕТНЫХ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ОБЪЕМОВ РАСХОДНЫХ ОБЯЗАТЕЛЬСТВ БЮДЖЕТОВ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СУБЪЕКТОВ РОССИЙСКОЙ ФЕДЕРАЦИИ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И ОРГАНОВ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САМОУПРАВЛЕНИЯ, ОПРЕДЕЛЕННЫХ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НОЯБРЯ 2004 ГОДА N 670 "О РАСПРЕДЕЛЕНИИ ДОТАЦИЙ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НА ВЫРАВНИВАНИЕ БЮДЖЕТНОЙ ОБЕСПЕЧЕННОСТИ СУБЪЕКТОВ</w:t>
      </w: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РОССИЙСКОЙ ФЕДЕРАЦИИ", НА 2018 - 2021 ГОДЫ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rPr>
          <w:rFonts w:ascii="Times New Roman" w:hAnsi="Times New Roman" w:cs="Times New Roman"/>
          <w:sz w:val="24"/>
          <w:szCs w:val="24"/>
        </w:rPr>
      </w:pPr>
    </w:p>
    <w:p w:rsidR="00206B97" w:rsidRDefault="00206B9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77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572"/>
        <w:gridCol w:w="4565"/>
        <w:gridCol w:w="964"/>
        <w:gridCol w:w="1191"/>
        <w:gridCol w:w="1247"/>
        <w:gridCol w:w="1191"/>
        <w:gridCol w:w="1247"/>
      </w:tblGrid>
      <w:tr w:rsidR="00206B97" w:rsidRPr="00206B97" w:rsidTr="00206B97">
        <w:tc>
          <w:tcPr>
            <w:tcW w:w="794" w:type="dxa"/>
            <w:vMerge w:val="restart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72" w:type="dxa"/>
            <w:vMerge w:val="restart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4565" w:type="dxa"/>
            <w:vMerge w:val="restart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 мероприятий</w:t>
            </w:r>
          </w:p>
        </w:tc>
        <w:tc>
          <w:tcPr>
            <w:tcW w:w="964" w:type="dxa"/>
            <w:vMerge w:val="restart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4876" w:type="dxa"/>
            <w:gridSpan w:val="4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Финансовая оценка (в годовом исчислении относительно базового (первоначального) 2018 года), тыс. рублей</w:t>
            </w:r>
          </w:p>
        </w:tc>
      </w:tr>
      <w:tr w:rsidR="00206B97" w:rsidRPr="00206B97" w:rsidTr="00206B97">
        <w:tc>
          <w:tcPr>
            <w:tcW w:w="794" w:type="dxa"/>
            <w:vMerge/>
          </w:tcPr>
          <w:p w:rsidR="00206B97" w:rsidRPr="00206B97" w:rsidRDefault="0020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/>
          </w:tcPr>
          <w:p w:rsidR="00206B97" w:rsidRPr="00206B97" w:rsidRDefault="0020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5" w:type="dxa"/>
            <w:vMerge/>
          </w:tcPr>
          <w:p w:rsidR="00206B97" w:rsidRPr="00206B97" w:rsidRDefault="0020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206B97" w:rsidRPr="00206B97" w:rsidRDefault="0020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206B97" w:rsidRPr="00206B97" w:rsidTr="00206B97">
        <w:tc>
          <w:tcPr>
            <w:tcW w:w="14771" w:type="dxa"/>
            <w:gridSpan w:val="8"/>
          </w:tcPr>
          <w:p w:rsidR="00206B97" w:rsidRPr="00206B97" w:rsidRDefault="00206B9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1. Мероприятия по росту доходного потенциала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налоговой базы по налогу на прибыль организаций </w:t>
            </w: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налогу на имущество организаций за счет реализации значимых инвестиционных проектов на территории области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министерство экономического развития области, министерство промышленности и </w:t>
            </w: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энергетики области, министерство сельского хозяйства области, министерство строительства и жилищно-коммунального хозяйства области, министерство транспорта и дорожного хозяйства области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2019 - 2021 </w:t>
            </w: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годы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291063,1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302614,7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332542,5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налоговой базы </w:t>
            </w:r>
            <w:proofErr w:type="gramStart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по налогу на доходы физических лиц за счет создания новых рабочих мест в ходе реализации инвестиционных проектов на территории</w:t>
            </w:r>
            <w:proofErr w:type="gramEnd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области, министерство промышленности и энергетики области, министерство сельского хозяйства области, министерство строительства и жилищно-коммунального хозяйства области, министерство транспорта и дорожного хозяйства области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2019 - 2021 годы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36042,5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46460,6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50128,5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Расширение налоговой базы за счет реализации инвестиционных проектов на территории опережающего социально-экономического развития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области, министерство промышленности и энергетики области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2115,7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13221,8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поступлений в бюджет доходов за счет повышения эффективности функционирования комплексов </w:t>
            </w:r>
            <w:proofErr w:type="spellStart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фотовидеофиксации</w:t>
            </w:r>
            <w:proofErr w:type="spellEnd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нарушений правил дорожного движения, а также увеличения количества комплексов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области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2018 - 2021 годы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41000,0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45500,0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47000,0</w:t>
            </w:r>
          </w:p>
        </w:tc>
      </w:tr>
      <w:tr w:rsidR="00206B97" w:rsidRPr="00206B97" w:rsidTr="00206B97">
        <w:tc>
          <w:tcPr>
            <w:tcW w:w="4366" w:type="dxa"/>
            <w:gridSpan w:val="2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Итого по росту доходного потенциала:</w:t>
            </w:r>
          </w:p>
        </w:tc>
        <w:tc>
          <w:tcPr>
            <w:tcW w:w="4565" w:type="dxa"/>
            <w:tcBorders>
              <w:right w:val="nil"/>
            </w:tcBorders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nil"/>
            </w:tcBorders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370221,3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407797,1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429671,0</w:t>
            </w:r>
          </w:p>
        </w:tc>
      </w:tr>
      <w:tr w:rsidR="00206B97" w:rsidRPr="00206B97" w:rsidTr="00206B97">
        <w:tc>
          <w:tcPr>
            <w:tcW w:w="14771" w:type="dxa"/>
            <w:gridSpan w:val="8"/>
          </w:tcPr>
          <w:p w:rsidR="00206B97" w:rsidRPr="00206B97" w:rsidRDefault="00206B9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Мероприятия по оптимизации расходов консолидированного бюджета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101" w:type="dxa"/>
            <w:gridSpan w:val="3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Оптимизация функций, выполняемых бюджетной сетью, реорганизация учреждений, передача полномочий органов власти области подведомственным казенным учреждениям, оптимизация численности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124170,6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346466,6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381487,5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417811,6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Вывод прочего персонала (за исключением руководящих работников, работников культуры) из штата муниципальных учреждений культуры (перевод на аутсорсинг или введение в штат учреждений по хозяйственному или иному обслуживанию)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 области (по согласованию)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2018 - 2021 годы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121468,0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137321,7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151692,6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170283,6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Передача функций по приему документов от населения многофункциональным центрам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органы исполнительной власти области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11000,0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22000,0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Реорганизация неэффективных учреждений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органы исполнительной власти области, имеющие подведомственные учреждения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2018 - 2021 годы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2369,8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7481,0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7561,3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7561,3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Красноармейского филиала ГАПОУ </w:t>
            </w:r>
            <w:proofErr w:type="gramStart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 "Саратовский техникум промышленных технологий и автомобильного сервиса"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области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332,80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1663,90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3800,20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3800,20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2.1.5.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территориального органа министерства социального развития области (г. Саратов) с передачей его </w:t>
            </w: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функций казенному учреждению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социального развития области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9400,0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9400,0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9400,0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2.1.6.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Сокращение не менее чем на 5 процентов административно-управленческого персонала и работников административно-хозяйственных служб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органы исполнительной власти области, имеющие подведомственные учреждения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190600,0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198033,4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204766,5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101" w:type="dxa"/>
            <w:gridSpan w:val="3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использования имущества, передача имущества в федеральную и муниципальную собственность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10732,6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10732,6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410732,6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Передача неиспользуемого имущества в муниципальную собственность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органы исполнительной власти области, имеющие подведомственные учреждения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2018 - 2019 годы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10732,6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10732,6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10732,6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Передача автомобильной дороги "Тамбов - Ртищево - Саратов" в федеральную собственность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области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Объединение (присоединение) поселений, в которых объем налоговых и неналоговых доходов ниже, чем расходы на аппарат управления, и в собственности отсутствуют муниципальные учреждения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министерство по делам территориальных образований области, органы местного самоуправления (по согласованию)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2019 - 2021 годы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5050,0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10100,0</w:t>
            </w:r>
          </w:p>
        </w:tc>
      </w:tr>
      <w:tr w:rsidR="00206B97" w:rsidRPr="00206B97" w:rsidTr="00206B97">
        <w:tc>
          <w:tcPr>
            <w:tcW w:w="79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572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</w:t>
            </w:r>
            <w:hyperlink r:id="rId17" w:history="1">
              <w:r w:rsidRPr="00206B97">
                <w:rPr>
                  <w:rFonts w:ascii="Times New Roman" w:hAnsi="Times New Roman" w:cs="Times New Roman"/>
                  <w:sz w:val="24"/>
                  <w:szCs w:val="24"/>
                </w:rPr>
                <w:t>Положение</w:t>
              </w:r>
            </w:hyperlink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формирования и использования бюджетных ассигнований областного дорожного фонда, утвержденное постановлением Правительства Саратовской </w:t>
            </w: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области от 31 января 2012 года N 40-П, в части расширения направлений использования средств областного дорожного фонда на обеспечение деятельности системы </w:t>
            </w:r>
            <w:proofErr w:type="spellStart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фотовидеофиксации</w:t>
            </w:r>
            <w:proofErr w:type="spellEnd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транспорта и дорожного хозяйства области</w:t>
            </w: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IV квартал 2018 года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154365,2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154365,2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154365,2</w:t>
            </w:r>
          </w:p>
        </w:tc>
      </w:tr>
      <w:tr w:rsidR="00206B97" w:rsidRPr="00206B97" w:rsidTr="00206B97">
        <w:tc>
          <w:tcPr>
            <w:tcW w:w="4366" w:type="dxa"/>
            <w:gridSpan w:val="2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по оптимизации расходов: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124170,6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511564,4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551635,3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993009,4</w:t>
            </w:r>
          </w:p>
        </w:tc>
      </w:tr>
      <w:tr w:rsidR="00206B97" w:rsidRPr="00206B97" w:rsidTr="00206B97">
        <w:tc>
          <w:tcPr>
            <w:tcW w:w="4366" w:type="dxa"/>
            <w:gridSpan w:val="2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565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206B97" w:rsidRPr="00206B97" w:rsidRDefault="00206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124170,6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881785,7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959432,4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1422680,4</w:t>
            </w:r>
          </w:p>
        </w:tc>
      </w:tr>
    </w:tbl>
    <w:p w:rsidR="00206B97" w:rsidRPr="00206B97" w:rsidRDefault="00206B97">
      <w:pPr>
        <w:rPr>
          <w:rFonts w:ascii="Times New Roman" w:hAnsi="Times New Roman" w:cs="Times New Roman"/>
          <w:sz w:val="24"/>
          <w:szCs w:val="24"/>
        </w:rPr>
        <w:sectPr w:rsidR="00206B97" w:rsidRPr="00206B9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06B97" w:rsidRPr="00206B97" w:rsidRDefault="00206B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lastRenderedPageBreak/>
        <w:t>П</w:t>
      </w:r>
      <w:bookmarkStart w:id="2" w:name="_GoBack"/>
      <w:bookmarkEnd w:id="2"/>
      <w:r w:rsidRPr="00206B97">
        <w:rPr>
          <w:rFonts w:ascii="Times New Roman" w:hAnsi="Times New Roman" w:cs="Times New Roman"/>
          <w:sz w:val="24"/>
          <w:szCs w:val="24"/>
        </w:rPr>
        <w:t>риложение N 2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к Положению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 реализации мероприятий, направленных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на рост доходного потенциала области и оптимизацию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расходов консолидированного бюджета области до уровня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расчетных объемов расходных обязательств бюджетов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субъектов Российской Федерации и органов местного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 xml:space="preserve">самоуправления, </w:t>
      </w:r>
      <w:proofErr w:type="gramStart"/>
      <w:r w:rsidRPr="00206B97">
        <w:rPr>
          <w:rFonts w:ascii="Times New Roman" w:hAnsi="Times New Roman" w:cs="Times New Roman"/>
          <w:sz w:val="24"/>
          <w:szCs w:val="24"/>
        </w:rPr>
        <w:t>определенных</w:t>
      </w:r>
      <w:proofErr w:type="gramEnd"/>
      <w:r w:rsidRPr="00206B97">
        <w:rPr>
          <w:rFonts w:ascii="Times New Roman" w:hAnsi="Times New Roman" w:cs="Times New Roman"/>
          <w:sz w:val="24"/>
          <w:szCs w:val="24"/>
        </w:rPr>
        <w:t xml:space="preserve"> в порядке, установленном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от 22 ноября 2004 года N 670 "О распределении дотаций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на выравнивание бюджетной обеспеченности субъектов</w:t>
      </w:r>
    </w:p>
    <w:p w:rsidR="00206B97" w:rsidRPr="00206B97" w:rsidRDefault="00206B9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Российской Федерации", на 2018 - 2021 годы</w:t>
      </w: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425"/>
      <w:bookmarkEnd w:id="3"/>
      <w:r w:rsidRPr="00206B97">
        <w:rPr>
          <w:rFonts w:ascii="Times New Roman" w:hAnsi="Times New Roman" w:cs="Times New Roman"/>
          <w:sz w:val="24"/>
          <w:szCs w:val="24"/>
        </w:rPr>
        <w:t>ЦЕЛЕВЫЕ ИНДИКАТОРЫ</w:t>
      </w:r>
    </w:p>
    <w:p w:rsidR="00206B97" w:rsidRPr="00206B97" w:rsidRDefault="00206B97" w:rsidP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06B97">
        <w:rPr>
          <w:rFonts w:ascii="Times New Roman" w:hAnsi="Times New Roman" w:cs="Times New Roman"/>
          <w:sz w:val="24"/>
          <w:szCs w:val="24"/>
        </w:rPr>
        <w:t>РЕАЛИЗАЦИИ МЕРОПРИЯТИЙ ДОПОЛНИТЕЛЬНОГО ПЛАНА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ПО РОСТУ ДОХОДНОГО ПОТЕНЦИАЛА ОБЛАСТИ И ПО ОПТИМИЗАЦИИ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РАСХОДОВ КОНСОЛИДИРОВАННОГО БЮДЖЕТА ОБЛАСТИ ДО УРОВНЯ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РАСЧЕТНЫХ ОБЪЕМОВ РАСХОДНЫХ ОБЯЗАТЕЛЬСТВ БЮДЖЕТОВ СУБЪЕКТОВ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РОССИЙСКОЙ ФЕДЕРАЦИИ И ОРГАНОВ МЕСТНОГО САМОУПРАВЛЕНИЯ,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ОПРЕДЕЛЕННЫХ В ПОРЯДКЕ, УСТАНОВЛЕННОМ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ПРАВИТЕЛЬСТВА РОССИЙСКОЙ ФЕДЕРАЦИИ ОТ 22 НОЯБРЯ 2004 ГОДА 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670 "О РАСПРЕДЕЛЕНИИ ДОТАЦИЙ НА ВЫРАВНИВАНИЕ БЮДЖЕТНОЙ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97">
        <w:rPr>
          <w:rFonts w:ascii="Times New Roman" w:hAnsi="Times New Roman" w:cs="Times New Roman"/>
          <w:sz w:val="24"/>
          <w:szCs w:val="24"/>
        </w:rPr>
        <w:t>ОБЕСПЕЧЕННОСТИ СУБЪЕКТОВ РОССИЙСКОЙ ФЕДЕРАЦИИ",</w:t>
      </w:r>
      <w:proofErr w:type="gramEnd"/>
    </w:p>
    <w:p w:rsid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6B97">
        <w:rPr>
          <w:rFonts w:ascii="Times New Roman" w:hAnsi="Times New Roman" w:cs="Times New Roman"/>
          <w:sz w:val="24"/>
          <w:szCs w:val="24"/>
        </w:rPr>
        <w:t>НА 2018 - 2021 ГОДЫ</w:t>
      </w:r>
    </w:p>
    <w:p w:rsidR="00206B97" w:rsidRPr="00206B97" w:rsidRDefault="00206B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85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8532"/>
        <w:gridCol w:w="1080"/>
        <w:gridCol w:w="1191"/>
        <w:gridCol w:w="1191"/>
        <w:gridCol w:w="1247"/>
        <w:gridCol w:w="1077"/>
      </w:tblGrid>
      <w:tr w:rsidR="00206B97" w:rsidRPr="00206B97" w:rsidTr="00206B97">
        <w:tc>
          <w:tcPr>
            <w:tcW w:w="54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532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Целевые индикаторы</w:t>
            </w:r>
          </w:p>
        </w:tc>
        <w:tc>
          <w:tcPr>
            <w:tcW w:w="108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07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206B97" w:rsidRPr="00206B97" w:rsidTr="00206B97">
        <w:tc>
          <w:tcPr>
            <w:tcW w:w="54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32" w:type="dxa"/>
          </w:tcPr>
          <w:p w:rsidR="00206B97" w:rsidRPr="00206B97" w:rsidRDefault="00206B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Прирост налоговых и неналоговых доходов консолидированного бюджета области не ниже планового уровня инфляции (декабрь к декабрю)</w:t>
            </w:r>
          </w:p>
        </w:tc>
        <w:tc>
          <w:tcPr>
            <w:tcW w:w="108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07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206B97" w:rsidRPr="00206B97" w:rsidTr="00206B97">
        <w:tc>
          <w:tcPr>
            <w:tcW w:w="54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32" w:type="dxa"/>
          </w:tcPr>
          <w:p w:rsidR="00206B97" w:rsidRPr="00206B97" w:rsidRDefault="00206B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Отношение дефицита областного бюджета (без учета суммы поступлений от продажи акций и иных форм участия в капитале, находящихся в собственности области, и (или) снижения остатков средств на счетах по учету средств бюджета) к исполнению доходов областного бюджета без учета объема безвозмездных поступлений за отчетный год</w:t>
            </w:r>
          </w:p>
        </w:tc>
        <w:tc>
          <w:tcPr>
            <w:tcW w:w="108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 10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 10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 10</w:t>
            </w:r>
          </w:p>
        </w:tc>
        <w:tc>
          <w:tcPr>
            <w:tcW w:w="107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 10</w:t>
            </w:r>
          </w:p>
        </w:tc>
      </w:tr>
      <w:tr w:rsidR="00206B97" w:rsidRPr="00206B97" w:rsidTr="00206B97">
        <w:tc>
          <w:tcPr>
            <w:tcW w:w="54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8532" w:type="dxa"/>
          </w:tcPr>
          <w:p w:rsidR="00206B97" w:rsidRPr="00206B97" w:rsidRDefault="00206B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Доля общего объема государственного долга области от объема доходов областного бюджета без учета безвозмездных поступлений за отчетный год</w:t>
            </w:r>
          </w:p>
        </w:tc>
        <w:tc>
          <w:tcPr>
            <w:tcW w:w="108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82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79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74</w:t>
            </w:r>
          </w:p>
        </w:tc>
        <w:tc>
          <w:tcPr>
            <w:tcW w:w="107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66</w:t>
            </w:r>
          </w:p>
        </w:tc>
      </w:tr>
      <w:tr w:rsidR="00206B97" w:rsidRPr="00206B97" w:rsidTr="00206B97">
        <w:tc>
          <w:tcPr>
            <w:tcW w:w="54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32" w:type="dxa"/>
          </w:tcPr>
          <w:p w:rsidR="00206B97" w:rsidRPr="00206B97" w:rsidRDefault="00206B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Отношение предельного объема заимствований области к сумме, направляемой на финансирование дефицита областного бюджета и (или) погашение долговых обязательств области</w:t>
            </w:r>
          </w:p>
        </w:tc>
        <w:tc>
          <w:tcPr>
            <w:tcW w:w="108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7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6B97" w:rsidRPr="00206B97" w:rsidTr="00206B97">
        <w:tc>
          <w:tcPr>
            <w:tcW w:w="54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32" w:type="dxa"/>
          </w:tcPr>
          <w:p w:rsidR="00206B97" w:rsidRPr="00206B97" w:rsidRDefault="00206B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Доля общего объема долговых обязательств области по государственным ценным бумагам и банковским кредитам в сумме доходов областного бюджета без учета безвозмездных поступлений за отчетный год</w:t>
            </w:r>
          </w:p>
        </w:tc>
        <w:tc>
          <w:tcPr>
            <w:tcW w:w="108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44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44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44</w:t>
            </w:r>
          </w:p>
        </w:tc>
        <w:tc>
          <w:tcPr>
            <w:tcW w:w="107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44</w:t>
            </w:r>
          </w:p>
        </w:tc>
      </w:tr>
      <w:tr w:rsidR="00206B97" w:rsidRPr="00206B97" w:rsidTr="00206B97">
        <w:tc>
          <w:tcPr>
            <w:tcW w:w="54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32" w:type="dxa"/>
          </w:tcPr>
          <w:p w:rsidR="00206B97" w:rsidRPr="00206B97" w:rsidRDefault="00206B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Отношение объема расходов на обслуживание государственного долга к объему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08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10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10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10</w:t>
            </w:r>
          </w:p>
        </w:tc>
        <w:tc>
          <w:tcPr>
            <w:tcW w:w="107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10</w:t>
            </w:r>
          </w:p>
        </w:tc>
      </w:tr>
      <w:tr w:rsidR="00206B97" w:rsidRPr="00206B97" w:rsidTr="00206B97">
        <w:tc>
          <w:tcPr>
            <w:tcW w:w="54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32" w:type="dxa"/>
          </w:tcPr>
          <w:p w:rsidR="00206B97" w:rsidRPr="00206B97" w:rsidRDefault="00206B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Отношение расходов на содержание органов государственной власти области к соответствующему нормативу, установленному Правительством Российской Федерации</w:t>
            </w:r>
          </w:p>
        </w:tc>
        <w:tc>
          <w:tcPr>
            <w:tcW w:w="108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100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100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100</w:t>
            </w:r>
          </w:p>
        </w:tc>
        <w:tc>
          <w:tcPr>
            <w:tcW w:w="107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&lt;= 100</w:t>
            </w:r>
          </w:p>
        </w:tc>
      </w:tr>
      <w:tr w:rsidR="00206B97" w:rsidRPr="00206B97" w:rsidTr="00206B97">
        <w:tc>
          <w:tcPr>
            <w:tcW w:w="54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32" w:type="dxa"/>
          </w:tcPr>
          <w:p w:rsidR="00206B97" w:rsidRPr="00206B97" w:rsidRDefault="00206B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Доля муниципальных образований области, соблюдающих установленные нормативы формирования расходов на содержание органов местного самоуправления муниципальных образований области</w:t>
            </w:r>
          </w:p>
        </w:tc>
        <w:tc>
          <w:tcPr>
            <w:tcW w:w="1080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&gt;= 95</w:t>
            </w:r>
          </w:p>
        </w:tc>
        <w:tc>
          <w:tcPr>
            <w:tcW w:w="1191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=&gt; 95</w:t>
            </w:r>
          </w:p>
        </w:tc>
        <w:tc>
          <w:tcPr>
            <w:tcW w:w="124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&gt;= 95</w:t>
            </w:r>
          </w:p>
        </w:tc>
        <w:tc>
          <w:tcPr>
            <w:tcW w:w="1077" w:type="dxa"/>
          </w:tcPr>
          <w:p w:rsidR="00206B97" w:rsidRPr="00206B97" w:rsidRDefault="00206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97">
              <w:rPr>
                <w:rFonts w:ascii="Times New Roman" w:hAnsi="Times New Roman" w:cs="Times New Roman"/>
                <w:sz w:val="24"/>
                <w:szCs w:val="24"/>
              </w:rPr>
              <w:t>&gt;= 95</w:t>
            </w:r>
          </w:p>
        </w:tc>
      </w:tr>
    </w:tbl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6B97" w:rsidRPr="00206B97" w:rsidRDefault="00206B9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206B97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206B97" w:rsidSect="00206B97">
      <w:pgSz w:w="16838" w:h="11905" w:orient="landscape"/>
      <w:pgMar w:top="993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B97"/>
    <w:rsid w:val="00206B97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6B9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206B9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206B9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6B9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206B9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206B9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C01C8F885B5BD2C69EF8541D5C333899DE347BE67A3743C694CC2C5AD3BBA5896D6A9D55AB6C735A03BC0C452AEE4E8DA277AA28DCE02471A061jDz3H" TargetMode="External"/><Relationship Id="rId13" Type="http://schemas.openxmlformats.org/officeDocument/2006/relationships/hyperlink" Target="consultantplus://offline/ref=ACC01C8F885B5BD2C69EE6590B306E3093DD6D73E4296F10CC9E9974058AEBE2D86B3EDD0FA76D6D5803BCj0z2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CC01C8F885B5BD2C69EF8541D5C333899DE347BEE7E344DC4979126528AB7A78E62358A52E260725A03B40E4975EB5B9CFA7AA935C3E13A6DA260DAj5zFH" TargetMode="External"/><Relationship Id="rId12" Type="http://schemas.openxmlformats.org/officeDocument/2006/relationships/hyperlink" Target="consultantplus://offline/ref=ACC01C8F885B5BD2C69EF8541D5C333899DE347BEE7F3A45C49E9126528AB7A78E62358A52E260725A03BD0B4C75EB5B9CFA7AA935C3E13A6DA260DAj5zFH" TargetMode="External"/><Relationship Id="rId17" Type="http://schemas.openxmlformats.org/officeDocument/2006/relationships/hyperlink" Target="consultantplus://offline/ref=ACC01C8F885B5BD2C69EF8541D5C333899DE347BEE7E3B44C8989126528AB7A78E62358A52E260725A03BD0B4F75EB5B9CFA7AA935C3E13A6DA260DAj5zFH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2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ACC01C8F885B5BD2C69EE6590B306E3092D46F72ED7738129DCB97710DDAB1F2DC226BD311A573725A1DBF0A4Fj7z6H" TargetMode="External"/><Relationship Id="rId11" Type="http://schemas.openxmlformats.org/officeDocument/2006/relationships/hyperlink" Target="consultantplus://offline/ref=ACC01C8F885B5BD2C69EE6590B306E3092D46971E67D38129DCB97710DDAB1F2DC226BD311A573725A1DBF0A4Fj7z6H" TargetMode="External"/><Relationship Id="rId5" Type="http://schemas.openxmlformats.org/officeDocument/2006/relationships/hyperlink" Target="consultantplus://offline/ref=ACC01C8F885B5BD2C69EE6590B306E3092D46F74ED7738129DCB97710DDAB1F2DC226BD311A573725A1DBF0A4Fj7z6H" TargetMode="External"/><Relationship Id="rId15" Type="http://schemas.openxmlformats.org/officeDocument/2006/relationships/image" Target="media/image1.wmf"/><Relationship Id="rId10" Type="http://schemas.openxmlformats.org/officeDocument/2006/relationships/hyperlink" Target="consultantplus://offline/ref=ACC01C8F885B5BD2C69EF8541D5C333899DE347BEE7E344DC4979126528AB7A78E62358A52E260725A03BC0A4F75EB5B9CFA7AA935C3E13A6DA260DAj5zF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CC01C8F885B5BD2C69EF8541D5C333899DE347BEE7E344DC4979126528AB7A78E62358A52E260725A02BB034A75EB5B9CFA7AA935C3E13A6DA260DAj5zFH" TargetMode="External"/><Relationship Id="rId14" Type="http://schemas.openxmlformats.org/officeDocument/2006/relationships/hyperlink" Target="consultantplus://offline/ref=ACC01C8F885B5BD2C69EE6590B306E3092D46F72ED7738129DCB97710DDAB1F2DC226BD311A573725A1DBF0A4Fj7z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5052</Words>
  <Characters>28799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2018-10-03T07:51:00Z</dcterms:created>
  <dcterms:modified xsi:type="dcterms:W3CDTF">2018-10-03T07:55:00Z</dcterms:modified>
</cp:coreProperties>
</file>