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F2" w:rsidRPr="00E47BF2" w:rsidRDefault="00E47BF2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E47BF2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ПОСТАНОВЛЕНИЕ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от 29 марта 2011 г. N 165-П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ОБ ИСПОЛНЕНИИ УСЛОВИЙ ЗАКЛЮЧЕННЫХ СОГЛАШЕНИЙ</w:t>
      </w:r>
    </w:p>
    <w:p w:rsidR="00E47BF2" w:rsidRPr="00E47BF2" w:rsidRDefault="00E47BF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47BF2" w:rsidRPr="00E47B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10.06.2011 </w:t>
            </w:r>
            <w:hyperlink r:id="rId5">
              <w:r w:rsidRPr="00E47BF2">
                <w:rPr>
                  <w:rFonts w:ascii="PT Astra Serif" w:hAnsi="PT Astra Serif"/>
                  <w:sz w:val="28"/>
                  <w:szCs w:val="28"/>
                </w:rPr>
                <w:t>N 295-П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05.04.2012 </w:t>
            </w:r>
            <w:hyperlink r:id="rId6">
              <w:r w:rsidRPr="00E47BF2">
                <w:rPr>
                  <w:rFonts w:ascii="PT Astra Serif" w:hAnsi="PT Astra Serif"/>
                  <w:sz w:val="28"/>
                  <w:szCs w:val="28"/>
                </w:rPr>
                <w:t>N 166-П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29.05.2012 </w:t>
            </w:r>
            <w:hyperlink r:id="rId7">
              <w:r w:rsidRPr="00E47BF2">
                <w:rPr>
                  <w:rFonts w:ascii="PT Astra Serif" w:hAnsi="PT Astra Serif"/>
                  <w:sz w:val="28"/>
                  <w:szCs w:val="28"/>
                </w:rPr>
                <w:t>N 261-П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05.07.2012 </w:t>
            </w:r>
            <w:hyperlink r:id="rId8">
              <w:r w:rsidRPr="00E47BF2">
                <w:rPr>
                  <w:rFonts w:ascii="PT Astra Serif" w:hAnsi="PT Astra Serif"/>
                  <w:sz w:val="28"/>
                  <w:szCs w:val="28"/>
                </w:rPr>
                <w:t>N 373-П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28.08.2012 </w:t>
            </w:r>
            <w:hyperlink r:id="rId9">
              <w:r w:rsidRPr="00E47BF2">
                <w:rPr>
                  <w:rFonts w:ascii="PT Astra Serif" w:hAnsi="PT Astra Serif"/>
                  <w:sz w:val="28"/>
                  <w:szCs w:val="28"/>
                </w:rPr>
                <w:t>N 519-П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22.04.2013 </w:t>
            </w:r>
            <w:hyperlink r:id="rId10">
              <w:r w:rsidRPr="00E47BF2">
                <w:rPr>
                  <w:rFonts w:ascii="PT Astra Serif" w:hAnsi="PT Astra Serif"/>
                  <w:sz w:val="28"/>
                  <w:szCs w:val="28"/>
                </w:rPr>
                <w:t>N 199-П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23.04.2013 </w:t>
            </w:r>
            <w:hyperlink r:id="rId11">
              <w:r w:rsidRPr="00E47BF2">
                <w:rPr>
                  <w:rFonts w:ascii="PT Astra Serif" w:hAnsi="PT Astra Serif"/>
                  <w:sz w:val="28"/>
                  <w:szCs w:val="28"/>
                </w:rPr>
                <w:t>N 203-П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06.06.2013 </w:t>
            </w:r>
            <w:hyperlink r:id="rId12">
              <w:r w:rsidRPr="00E47BF2">
                <w:rPr>
                  <w:rFonts w:ascii="PT Astra Serif" w:hAnsi="PT Astra Serif"/>
                  <w:sz w:val="28"/>
                  <w:szCs w:val="28"/>
                </w:rPr>
                <w:t>N 281-П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15.11.2013 </w:t>
            </w:r>
            <w:hyperlink r:id="rId13">
              <w:r w:rsidRPr="00E47BF2">
                <w:rPr>
                  <w:rFonts w:ascii="PT Astra Serif" w:hAnsi="PT Astra Serif"/>
                  <w:sz w:val="28"/>
                  <w:szCs w:val="28"/>
                </w:rPr>
                <w:t>N 628-П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05.03.2014 </w:t>
            </w:r>
            <w:hyperlink r:id="rId14">
              <w:r w:rsidRPr="00E47BF2">
                <w:rPr>
                  <w:rFonts w:ascii="PT Astra Serif" w:hAnsi="PT Astra Serif"/>
                  <w:sz w:val="28"/>
                  <w:szCs w:val="28"/>
                </w:rPr>
                <w:t>N 140-П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01.04.2014 </w:t>
            </w:r>
            <w:hyperlink r:id="rId15">
              <w:r w:rsidRPr="00E47BF2">
                <w:rPr>
                  <w:rFonts w:ascii="PT Astra Serif" w:hAnsi="PT Astra Serif"/>
                  <w:sz w:val="28"/>
                  <w:szCs w:val="28"/>
                </w:rPr>
                <w:t>N 194-П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28.04.2014 </w:t>
            </w:r>
            <w:hyperlink r:id="rId16">
              <w:r w:rsidRPr="00E47BF2">
                <w:rPr>
                  <w:rFonts w:ascii="PT Astra Serif" w:hAnsi="PT Astra Serif"/>
                  <w:sz w:val="28"/>
                  <w:szCs w:val="28"/>
                </w:rPr>
                <w:t>N 256-П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28.09.2015 </w:t>
            </w:r>
            <w:hyperlink r:id="rId17">
              <w:r w:rsidRPr="00E47BF2">
                <w:rPr>
                  <w:rFonts w:ascii="PT Astra Serif" w:hAnsi="PT Astra Serif"/>
                  <w:sz w:val="28"/>
                  <w:szCs w:val="28"/>
                </w:rPr>
                <w:t>N 488-П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08.06.2016 </w:t>
            </w:r>
            <w:hyperlink r:id="rId18">
              <w:r w:rsidRPr="00E47BF2">
                <w:rPr>
                  <w:rFonts w:ascii="PT Astra Serif" w:hAnsi="PT Astra Serif"/>
                  <w:sz w:val="28"/>
                  <w:szCs w:val="28"/>
                </w:rPr>
                <w:t>N 280-П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21.10.2016 </w:t>
            </w:r>
            <w:hyperlink r:id="rId19">
              <w:r w:rsidRPr="00E47BF2">
                <w:rPr>
                  <w:rFonts w:ascii="PT Astra Serif" w:hAnsi="PT Astra Serif"/>
                  <w:sz w:val="28"/>
                  <w:szCs w:val="28"/>
                </w:rPr>
                <w:t>N 580-П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29.12.2017 </w:t>
            </w:r>
            <w:hyperlink r:id="rId20">
              <w:r w:rsidRPr="00E47BF2">
                <w:rPr>
                  <w:rFonts w:ascii="PT Astra Serif" w:hAnsi="PT Astra Serif"/>
                  <w:sz w:val="28"/>
                  <w:szCs w:val="28"/>
                </w:rPr>
                <w:t>N 736-П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25.01.2019 </w:t>
            </w:r>
            <w:hyperlink r:id="rId21">
              <w:r w:rsidRPr="00E47BF2">
                <w:rPr>
                  <w:rFonts w:ascii="PT Astra Serif" w:hAnsi="PT Astra Serif"/>
                  <w:sz w:val="28"/>
                  <w:szCs w:val="28"/>
                </w:rPr>
                <w:t>N 32-П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03.10.2019 </w:t>
            </w:r>
            <w:hyperlink r:id="rId22">
              <w:r w:rsidRPr="00E47BF2">
                <w:rPr>
                  <w:rFonts w:ascii="PT Astra Serif" w:hAnsi="PT Astra Serif"/>
                  <w:sz w:val="28"/>
                  <w:szCs w:val="28"/>
                </w:rPr>
                <w:t>N 701-П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23.12.2019 </w:t>
            </w:r>
            <w:hyperlink r:id="rId23">
              <w:r w:rsidRPr="00E47BF2">
                <w:rPr>
                  <w:rFonts w:ascii="PT Astra Serif" w:hAnsi="PT Astra Serif"/>
                  <w:sz w:val="28"/>
                  <w:szCs w:val="28"/>
                </w:rPr>
                <w:t>N 900-П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16.05.2022 </w:t>
            </w:r>
            <w:hyperlink r:id="rId24">
              <w:r w:rsidRPr="00E47BF2">
                <w:rPr>
                  <w:rFonts w:ascii="PT Astra Serif" w:hAnsi="PT Astra Serif"/>
                  <w:sz w:val="28"/>
                  <w:szCs w:val="28"/>
                </w:rPr>
                <w:t>N 363-П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24.03.2023 </w:t>
            </w:r>
            <w:hyperlink r:id="rId25">
              <w:r w:rsidRPr="00E47BF2">
                <w:rPr>
                  <w:rFonts w:ascii="PT Astra Serif" w:hAnsi="PT Astra Serif"/>
                  <w:sz w:val="28"/>
                  <w:szCs w:val="28"/>
                </w:rPr>
                <w:t>N 252-П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18.12.2024 </w:t>
            </w:r>
            <w:hyperlink r:id="rId26">
              <w:r w:rsidRPr="00E47BF2">
                <w:rPr>
                  <w:rFonts w:ascii="PT Astra Serif" w:hAnsi="PT Astra Serif"/>
                  <w:sz w:val="28"/>
                  <w:szCs w:val="28"/>
                </w:rPr>
                <w:t>N 1058-П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E47BF2">
        <w:rPr>
          <w:rFonts w:ascii="PT Astra Serif" w:hAnsi="PT Astra Serif"/>
          <w:sz w:val="28"/>
          <w:szCs w:val="28"/>
        </w:rPr>
        <w:t xml:space="preserve">Во исполнение соглашений об условиях предоставления бюджету Саратовской области дополнительной финансовой помощи из федерального бюджета в виде бюджетного кредита для частичного покрытия дефицита бюджета субъекта Российской Федерации от 13 июля 2015 года N 01-01-06/06-98 </w:t>
      </w:r>
      <w:proofErr w:type="spellStart"/>
      <w:r w:rsidRPr="00E47BF2">
        <w:rPr>
          <w:rFonts w:ascii="PT Astra Serif" w:hAnsi="PT Astra Serif"/>
          <w:sz w:val="28"/>
          <w:szCs w:val="28"/>
        </w:rPr>
        <w:t>усл</w:t>
      </w:r>
      <w:proofErr w:type="spellEnd"/>
      <w:r w:rsidRPr="00E47BF2">
        <w:rPr>
          <w:rFonts w:ascii="PT Astra Serif" w:hAnsi="PT Astra Serif"/>
          <w:sz w:val="28"/>
          <w:szCs w:val="28"/>
        </w:rPr>
        <w:t xml:space="preserve">., от 14 сентября 2015 года N 01-01-06/06-127 </w:t>
      </w:r>
      <w:proofErr w:type="spellStart"/>
      <w:r w:rsidRPr="00E47BF2">
        <w:rPr>
          <w:rFonts w:ascii="PT Astra Serif" w:hAnsi="PT Astra Serif"/>
          <w:sz w:val="28"/>
          <w:szCs w:val="28"/>
        </w:rPr>
        <w:t>усл</w:t>
      </w:r>
      <w:proofErr w:type="spellEnd"/>
      <w:r w:rsidRPr="00E47BF2">
        <w:rPr>
          <w:rFonts w:ascii="PT Astra Serif" w:hAnsi="PT Astra Serif"/>
          <w:sz w:val="28"/>
          <w:szCs w:val="28"/>
        </w:rPr>
        <w:t>., соглашений о предоставлении бюджету Саратовской области из федерального бюджета бюджетного кредита для частичного покрытия дефицита</w:t>
      </w:r>
      <w:proofErr w:type="gramEnd"/>
      <w:r w:rsidRPr="00E47BF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E47BF2">
        <w:rPr>
          <w:rFonts w:ascii="PT Astra Serif" w:hAnsi="PT Astra Serif"/>
          <w:sz w:val="28"/>
          <w:szCs w:val="28"/>
        </w:rPr>
        <w:t>бюджета Саратовской области от 13 июля 2015 года N 01-01-06/06-98, от 14 сентября 2015 года N 01-01-06/06-127, от 15 декабря 2015 года N 01-01-06/06-238, от 17 июля 2017 года N 01-01-06/06-192, от 17 июля 2017 года N 01-01-06/06-193, от 25 декабря 2017 года N 01-01-06/06-393, заключенных между Министерством финансов Российской Федерации и министерством финансов</w:t>
      </w:r>
      <w:proofErr w:type="gramEnd"/>
      <w:r w:rsidRPr="00E47BF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E47BF2">
        <w:rPr>
          <w:rFonts w:ascii="PT Astra Serif" w:hAnsi="PT Astra Serif"/>
          <w:sz w:val="28"/>
          <w:szCs w:val="28"/>
        </w:rPr>
        <w:t xml:space="preserve">Саратовской области, с целью выполнения обязательств области по соглашениям о мерах по социально-экономическому развитию и оздоровлению государственных финансов области, заключенным между Министерством финансов Российской Федерации и Губернатором Саратовской области, и в целях соблюдения условий, установленных постановлениями Правительства Российской Федерации от 30 марта 2015 года </w:t>
      </w:r>
      <w:hyperlink r:id="rId27">
        <w:r w:rsidRPr="00E47BF2">
          <w:rPr>
            <w:rFonts w:ascii="PT Astra Serif" w:hAnsi="PT Astra Serif"/>
            <w:sz w:val="28"/>
            <w:szCs w:val="28"/>
          </w:rPr>
          <w:t>N 292</w:t>
        </w:r>
      </w:hyperlink>
      <w:r w:rsidRPr="00E47BF2">
        <w:rPr>
          <w:rFonts w:ascii="PT Astra Serif" w:hAnsi="PT Astra Serif"/>
          <w:sz w:val="28"/>
          <w:szCs w:val="28"/>
        </w:rPr>
        <w:t xml:space="preserve"> "О дополнительных условиях и порядке проведения в 2015 году реструктуризации обязательств (задолженности) субъектов Российской</w:t>
      </w:r>
      <w:proofErr w:type="gramEnd"/>
      <w:r w:rsidRPr="00E47BF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E47BF2">
        <w:rPr>
          <w:rFonts w:ascii="PT Astra Serif" w:hAnsi="PT Astra Serif"/>
          <w:sz w:val="28"/>
          <w:szCs w:val="28"/>
        </w:rPr>
        <w:t xml:space="preserve">Федерации перед Российской Федерацией по бюджетным кредитам", от 13 декабря 2017 года </w:t>
      </w:r>
      <w:hyperlink r:id="rId28">
        <w:r w:rsidRPr="00E47BF2">
          <w:rPr>
            <w:rFonts w:ascii="PT Astra Serif" w:hAnsi="PT Astra Serif"/>
            <w:sz w:val="28"/>
            <w:szCs w:val="28"/>
          </w:rPr>
          <w:t>N 1531</w:t>
        </w:r>
      </w:hyperlink>
      <w:r w:rsidRPr="00E47BF2">
        <w:rPr>
          <w:rFonts w:ascii="PT Astra Serif" w:hAnsi="PT Astra Serif"/>
          <w:sz w:val="28"/>
          <w:szCs w:val="28"/>
        </w:rPr>
        <w:t xml:space="preserve"> "О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кредитам", от 28 июня 2021 года </w:t>
      </w:r>
      <w:hyperlink r:id="rId29">
        <w:r w:rsidRPr="00E47BF2">
          <w:rPr>
            <w:rFonts w:ascii="PT Astra Serif" w:hAnsi="PT Astra Serif"/>
            <w:sz w:val="28"/>
            <w:szCs w:val="28"/>
          </w:rPr>
          <w:t>N 1029</w:t>
        </w:r>
      </w:hyperlink>
      <w:r w:rsidRPr="00E47BF2">
        <w:rPr>
          <w:rFonts w:ascii="PT Astra Serif" w:hAnsi="PT Astra Serif"/>
          <w:sz w:val="28"/>
          <w:szCs w:val="28"/>
        </w:rPr>
        <w:t xml:space="preserve"> "Об утверждении Правил проведения в 2021 году реструктуризации обязательств (задолженности) субъектов Российской Федерации перед </w:t>
      </w:r>
      <w:r w:rsidRPr="00E47BF2">
        <w:rPr>
          <w:rFonts w:ascii="PT Astra Serif" w:hAnsi="PT Astra Serif"/>
          <w:sz w:val="28"/>
          <w:szCs w:val="28"/>
        </w:rPr>
        <w:lastRenderedPageBreak/>
        <w:t>Российской Федерацией по бюджетным кредитам", от 29 декабря</w:t>
      </w:r>
      <w:proofErr w:type="gramEnd"/>
      <w:r w:rsidRPr="00E47BF2">
        <w:rPr>
          <w:rFonts w:ascii="PT Astra Serif" w:hAnsi="PT Astra Serif"/>
          <w:sz w:val="28"/>
          <w:szCs w:val="28"/>
        </w:rPr>
        <w:t xml:space="preserve"> 2021 года </w:t>
      </w:r>
      <w:hyperlink r:id="rId30">
        <w:r w:rsidRPr="00E47BF2">
          <w:rPr>
            <w:rFonts w:ascii="PT Astra Serif" w:hAnsi="PT Astra Serif"/>
            <w:sz w:val="28"/>
            <w:szCs w:val="28"/>
          </w:rPr>
          <w:t>N 2534</w:t>
        </w:r>
      </w:hyperlink>
      <w:r w:rsidRPr="00E47BF2">
        <w:rPr>
          <w:rFonts w:ascii="PT Astra Serif" w:hAnsi="PT Astra Serif"/>
          <w:sz w:val="28"/>
          <w:szCs w:val="28"/>
        </w:rPr>
        <w:t xml:space="preserve"> "О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Федерации" Правительство области постановляет: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(преамбула в ред. </w:t>
      </w:r>
      <w:hyperlink r:id="rId31">
        <w:r w:rsidRPr="00E47BF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16.05.2022 N 363-П)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1. Утвердить планы мероприятий (далее - Планы мероприятий):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по повышению налоговых и неналоговых доходов, сокращению недоимки по уплате налогов в консолидированный бюджет Саратовской области согласно </w:t>
      </w:r>
      <w:hyperlink w:anchor="P56">
        <w:r w:rsidRPr="00E47BF2">
          <w:rPr>
            <w:rFonts w:ascii="PT Astra Serif" w:hAnsi="PT Astra Serif"/>
            <w:sz w:val="28"/>
            <w:szCs w:val="28"/>
          </w:rPr>
          <w:t>приложению N 1</w:t>
        </w:r>
      </w:hyperlink>
      <w:r w:rsidRPr="00E47BF2">
        <w:rPr>
          <w:rFonts w:ascii="PT Astra Serif" w:hAnsi="PT Astra Serif"/>
          <w:sz w:val="28"/>
          <w:szCs w:val="28"/>
        </w:rPr>
        <w:t>;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по росту доходов бюджета,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 согласно </w:t>
      </w:r>
      <w:hyperlink w:anchor="P287">
        <w:r w:rsidRPr="00E47BF2">
          <w:rPr>
            <w:rFonts w:ascii="PT Astra Serif" w:hAnsi="PT Astra Serif"/>
            <w:sz w:val="28"/>
            <w:szCs w:val="28"/>
          </w:rPr>
          <w:t>приложению N 2</w:t>
        </w:r>
      </w:hyperlink>
      <w:r w:rsidRPr="00E47BF2">
        <w:rPr>
          <w:rFonts w:ascii="PT Astra Serif" w:hAnsi="PT Astra Serif"/>
          <w:sz w:val="28"/>
          <w:szCs w:val="28"/>
        </w:rPr>
        <w:t>;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08.06.2016 </w:t>
      </w:r>
      <w:hyperlink r:id="rId32">
        <w:r w:rsidRPr="00E47BF2">
          <w:rPr>
            <w:rFonts w:ascii="PT Astra Serif" w:hAnsi="PT Astra Serif"/>
            <w:sz w:val="28"/>
            <w:szCs w:val="28"/>
          </w:rPr>
          <w:t>N 280-П</w:t>
        </w:r>
      </w:hyperlink>
      <w:r w:rsidRPr="00E47BF2">
        <w:rPr>
          <w:rFonts w:ascii="PT Astra Serif" w:hAnsi="PT Astra Serif"/>
          <w:sz w:val="28"/>
          <w:szCs w:val="28"/>
        </w:rPr>
        <w:t xml:space="preserve">, от 23.12.2019 </w:t>
      </w:r>
      <w:hyperlink r:id="rId33">
        <w:r w:rsidRPr="00E47BF2">
          <w:rPr>
            <w:rFonts w:ascii="PT Astra Serif" w:hAnsi="PT Astra Serif"/>
            <w:sz w:val="28"/>
            <w:szCs w:val="28"/>
          </w:rPr>
          <w:t>N 900-П</w:t>
        </w:r>
      </w:hyperlink>
      <w:r w:rsidRPr="00E47BF2">
        <w:rPr>
          <w:rFonts w:ascii="PT Astra Serif" w:hAnsi="PT Astra Serif"/>
          <w:sz w:val="28"/>
          <w:szCs w:val="28"/>
        </w:rPr>
        <w:t>)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абзац утратил силу с 16 мая 2022 года. - </w:t>
      </w:r>
      <w:hyperlink r:id="rId34">
        <w:r w:rsidRPr="00E47BF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16.05.2022 N 363-П.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2. Ответственным исполнителям Планов мероприятий, указанным в </w:t>
      </w:r>
      <w:hyperlink w:anchor="P56">
        <w:r w:rsidRPr="00E47BF2">
          <w:rPr>
            <w:rFonts w:ascii="PT Astra Serif" w:hAnsi="PT Astra Serif"/>
            <w:sz w:val="28"/>
            <w:szCs w:val="28"/>
          </w:rPr>
          <w:t>приложениях N 1</w:t>
        </w:r>
      </w:hyperlink>
      <w:r w:rsidRPr="00E47BF2">
        <w:rPr>
          <w:rFonts w:ascii="PT Astra Serif" w:hAnsi="PT Astra Serif"/>
          <w:sz w:val="28"/>
          <w:szCs w:val="28"/>
        </w:rPr>
        <w:t xml:space="preserve"> - </w:t>
      </w:r>
      <w:hyperlink w:anchor="P287">
        <w:r w:rsidRPr="00E47BF2">
          <w:rPr>
            <w:rFonts w:ascii="PT Astra Serif" w:hAnsi="PT Astra Serif"/>
            <w:sz w:val="28"/>
            <w:szCs w:val="28"/>
          </w:rPr>
          <w:t>2</w:t>
        </w:r>
      </w:hyperlink>
      <w:r w:rsidRPr="00E47BF2">
        <w:rPr>
          <w:rFonts w:ascii="PT Astra Serif" w:hAnsi="PT Astra Serif"/>
          <w:sz w:val="28"/>
          <w:szCs w:val="28"/>
        </w:rPr>
        <w:t>: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обеспечить исполнение Планов мероприятий в установленные сроки;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ежеквартально до 15 числа месяца, следующего за отчетным кварталом, представлять в министерство финансов области информацию о ходе исполнения Планов мероприятий, утвержденных </w:t>
      </w:r>
      <w:hyperlink w:anchor="P56">
        <w:r w:rsidRPr="00E47BF2">
          <w:rPr>
            <w:rFonts w:ascii="PT Astra Serif" w:hAnsi="PT Astra Serif"/>
            <w:sz w:val="28"/>
            <w:szCs w:val="28"/>
          </w:rPr>
          <w:t>приложениями N 1</w:t>
        </w:r>
      </w:hyperlink>
      <w:r w:rsidRPr="00E47BF2">
        <w:rPr>
          <w:rFonts w:ascii="PT Astra Serif" w:hAnsi="PT Astra Serif"/>
          <w:sz w:val="28"/>
          <w:szCs w:val="28"/>
        </w:rPr>
        <w:t xml:space="preserve"> - </w:t>
      </w:r>
      <w:hyperlink w:anchor="P287">
        <w:r w:rsidRPr="00E47BF2">
          <w:rPr>
            <w:rFonts w:ascii="PT Astra Serif" w:hAnsi="PT Astra Serif"/>
            <w:sz w:val="28"/>
            <w:szCs w:val="28"/>
          </w:rPr>
          <w:t>2</w:t>
        </w:r>
      </w:hyperlink>
      <w:r w:rsidRPr="00E47BF2">
        <w:rPr>
          <w:rFonts w:ascii="PT Astra Serif" w:hAnsi="PT Astra Serif"/>
          <w:sz w:val="28"/>
          <w:szCs w:val="28"/>
        </w:rPr>
        <w:t>;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не позднее 1 марта года, следующего за отчетным годом, представлять в министерство финансов области годовой отчет о реализации </w:t>
      </w:r>
      <w:hyperlink w:anchor="P287">
        <w:r w:rsidRPr="00E47BF2">
          <w:rPr>
            <w:rFonts w:ascii="PT Astra Serif" w:hAnsi="PT Astra Serif"/>
            <w:sz w:val="28"/>
            <w:szCs w:val="28"/>
          </w:rPr>
          <w:t>Плана</w:t>
        </w:r>
      </w:hyperlink>
      <w:r w:rsidRPr="00E47BF2">
        <w:rPr>
          <w:rFonts w:ascii="PT Astra Serif" w:hAnsi="PT Astra Serif"/>
          <w:sz w:val="28"/>
          <w:szCs w:val="28"/>
        </w:rPr>
        <w:t xml:space="preserve"> мероприятий, утвержденного приложением N 2.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(п. 2 в ред. </w:t>
      </w:r>
      <w:hyperlink r:id="rId35">
        <w:r w:rsidRPr="00E47BF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16.05.2022 N 363-П)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3. Рекомендовать органам местного самоуправления области: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обеспечить исполнение принятых планов мероприятий по повышению поступлений налоговых и неналоговых доходов в консолидированные бюджеты муниципальных районов (бюджеты городских округов) области, а также по сокращению недоимки по уплате налогов, сборов и иных обязательных платежей в местные бюджеты, и Планов мероприятий, утвержденных </w:t>
      </w:r>
      <w:hyperlink w:anchor="P56">
        <w:r w:rsidRPr="00E47BF2">
          <w:rPr>
            <w:rFonts w:ascii="PT Astra Serif" w:hAnsi="PT Astra Serif"/>
            <w:sz w:val="28"/>
            <w:szCs w:val="28"/>
          </w:rPr>
          <w:t>приложениями N 1</w:t>
        </w:r>
      </w:hyperlink>
      <w:r w:rsidRPr="00E47BF2">
        <w:rPr>
          <w:rFonts w:ascii="PT Astra Serif" w:hAnsi="PT Astra Serif"/>
          <w:sz w:val="28"/>
          <w:szCs w:val="28"/>
        </w:rPr>
        <w:t xml:space="preserve"> - </w:t>
      </w:r>
      <w:hyperlink w:anchor="P287">
        <w:r w:rsidRPr="00E47BF2">
          <w:rPr>
            <w:rFonts w:ascii="PT Astra Serif" w:hAnsi="PT Astra Serif"/>
            <w:sz w:val="28"/>
            <w:szCs w:val="28"/>
          </w:rPr>
          <w:t>2</w:t>
        </w:r>
      </w:hyperlink>
      <w:r w:rsidRPr="00E47BF2">
        <w:rPr>
          <w:rFonts w:ascii="PT Astra Serif" w:hAnsi="PT Astra Serif"/>
          <w:sz w:val="28"/>
          <w:szCs w:val="28"/>
        </w:rPr>
        <w:t>;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ежеквартально до 15 числа месяца, следующего за отчетным кварталом, </w:t>
      </w:r>
      <w:r w:rsidRPr="00E47BF2">
        <w:rPr>
          <w:rFonts w:ascii="PT Astra Serif" w:hAnsi="PT Astra Serif"/>
          <w:sz w:val="28"/>
          <w:szCs w:val="28"/>
        </w:rPr>
        <w:lastRenderedPageBreak/>
        <w:t xml:space="preserve">представлять в министерство финансов области информацию о ходе исполнения Планов мероприятий, утвержденных </w:t>
      </w:r>
      <w:hyperlink w:anchor="P56">
        <w:r w:rsidRPr="00E47BF2">
          <w:rPr>
            <w:rFonts w:ascii="PT Astra Serif" w:hAnsi="PT Astra Serif"/>
            <w:sz w:val="28"/>
            <w:szCs w:val="28"/>
          </w:rPr>
          <w:t>приложениями N 1</w:t>
        </w:r>
      </w:hyperlink>
      <w:r w:rsidRPr="00E47BF2">
        <w:rPr>
          <w:rFonts w:ascii="PT Astra Serif" w:hAnsi="PT Astra Serif"/>
          <w:sz w:val="28"/>
          <w:szCs w:val="28"/>
        </w:rPr>
        <w:t xml:space="preserve"> - </w:t>
      </w:r>
      <w:hyperlink w:anchor="P287">
        <w:r w:rsidRPr="00E47BF2">
          <w:rPr>
            <w:rFonts w:ascii="PT Astra Serif" w:hAnsi="PT Astra Serif"/>
            <w:sz w:val="28"/>
            <w:szCs w:val="28"/>
          </w:rPr>
          <w:t>2</w:t>
        </w:r>
      </w:hyperlink>
      <w:r w:rsidRPr="00E47BF2">
        <w:rPr>
          <w:rFonts w:ascii="PT Astra Serif" w:hAnsi="PT Astra Serif"/>
          <w:sz w:val="28"/>
          <w:szCs w:val="28"/>
        </w:rPr>
        <w:t>, в части мероприятий органов местного самоуправления области.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(п. 3 в ред. </w:t>
      </w:r>
      <w:hyperlink r:id="rId36">
        <w:r w:rsidRPr="00E47BF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16.05.2022 N 363-П)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4 - 5. Утратили силу с 16 мая 2022 года. - </w:t>
      </w:r>
      <w:hyperlink r:id="rId37">
        <w:r w:rsidRPr="00E47BF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16.05.2022 N 363-П.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6. Министерству финансов области обеспечить подготовку и направление в установленные сроки в Министерство финансов Российской Федерации информации о выполнении плана мероприятий по росту доходов бюджета,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года.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28.09.2015 </w:t>
      </w:r>
      <w:hyperlink r:id="rId38">
        <w:r w:rsidRPr="00E47BF2">
          <w:rPr>
            <w:rFonts w:ascii="PT Astra Serif" w:hAnsi="PT Astra Serif"/>
            <w:sz w:val="28"/>
            <w:szCs w:val="28"/>
          </w:rPr>
          <w:t>N 488-П</w:t>
        </w:r>
      </w:hyperlink>
      <w:r w:rsidRPr="00E47BF2">
        <w:rPr>
          <w:rFonts w:ascii="PT Astra Serif" w:hAnsi="PT Astra Serif"/>
          <w:sz w:val="28"/>
          <w:szCs w:val="28"/>
        </w:rPr>
        <w:t xml:space="preserve">, от 29.12.2017 </w:t>
      </w:r>
      <w:hyperlink r:id="rId39">
        <w:r w:rsidRPr="00E47BF2">
          <w:rPr>
            <w:rFonts w:ascii="PT Astra Serif" w:hAnsi="PT Astra Serif"/>
            <w:sz w:val="28"/>
            <w:szCs w:val="28"/>
          </w:rPr>
          <w:t>N 736-П</w:t>
        </w:r>
      </w:hyperlink>
      <w:r w:rsidRPr="00E47BF2">
        <w:rPr>
          <w:rFonts w:ascii="PT Astra Serif" w:hAnsi="PT Astra Serif"/>
          <w:sz w:val="28"/>
          <w:szCs w:val="28"/>
        </w:rPr>
        <w:t xml:space="preserve">, от 23.12.2019 </w:t>
      </w:r>
      <w:hyperlink r:id="rId40">
        <w:r w:rsidRPr="00E47BF2">
          <w:rPr>
            <w:rFonts w:ascii="PT Astra Serif" w:hAnsi="PT Astra Serif"/>
            <w:sz w:val="28"/>
            <w:szCs w:val="28"/>
          </w:rPr>
          <w:t>N 900-П</w:t>
        </w:r>
      </w:hyperlink>
      <w:r w:rsidRPr="00E47BF2">
        <w:rPr>
          <w:rFonts w:ascii="PT Astra Serif" w:hAnsi="PT Astra Serif"/>
          <w:sz w:val="28"/>
          <w:szCs w:val="28"/>
        </w:rPr>
        <w:t>)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7. Утратил силу с 5 апреля 2012 года. - </w:t>
      </w:r>
      <w:hyperlink r:id="rId41">
        <w:r w:rsidRPr="00E47BF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05.04.2012 N 166-П.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7 - 8. Утратили силу с 29 декабря 2017 года. - </w:t>
      </w:r>
      <w:hyperlink r:id="rId42">
        <w:r w:rsidRPr="00E47BF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29.12.2017 N 736-П.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9. </w:t>
      </w:r>
      <w:proofErr w:type="gramStart"/>
      <w:r w:rsidRPr="00E47BF2">
        <w:rPr>
          <w:rFonts w:ascii="PT Astra Serif" w:hAnsi="PT Astra Serif"/>
          <w:sz w:val="28"/>
          <w:szCs w:val="28"/>
        </w:rPr>
        <w:t xml:space="preserve">Контроль за исполнением настоящего постановления возложить на вице-губернатора области - руководителя аппарата Губернатора области Пивоварова И.И., заместителя Председателя Правительства области </w:t>
      </w:r>
      <w:proofErr w:type="spellStart"/>
      <w:r w:rsidRPr="00E47BF2">
        <w:rPr>
          <w:rFonts w:ascii="PT Astra Serif" w:hAnsi="PT Astra Serif"/>
          <w:sz w:val="28"/>
          <w:szCs w:val="28"/>
        </w:rPr>
        <w:t>Мигачева</w:t>
      </w:r>
      <w:proofErr w:type="spellEnd"/>
      <w:r w:rsidRPr="00E47BF2">
        <w:rPr>
          <w:rFonts w:ascii="PT Astra Serif" w:hAnsi="PT Astra Serif"/>
          <w:sz w:val="28"/>
          <w:szCs w:val="28"/>
        </w:rPr>
        <w:t xml:space="preserve"> П.В., заместителя Председателя Правительства области - министра сельского хозяйства области Ковальского Р.С., заместителя Председателя Правительства области Орлова М.И., заместителя Председателя Правительства области - министра промышленности и энергетики области Торгашина М.Н. в соответствии с распределением обязанностей, установленным </w:t>
      </w:r>
      <w:hyperlink r:id="rId43">
        <w:r w:rsidRPr="00E47BF2">
          <w:rPr>
            <w:rFonts w:ascii="PT Astra Serif" w:hAnsi="PT Astra Serif"/>
            <w:sz w:val="28"/>
            <w:szCs w:val="28"/>
          </w:rPr>
          <w:t>постановлением</w:t>
        </w:r>
        <w:proofErr w:type="gramEnd"/>
      </w:hyperlink>
      <w:r w:rsidRPr="00E47BF2">
        <w:rPr>
          <w:rFonts w:ascii="PT Astra Serif" w:hAnsi="PT Astra Serif"/>
          <w:sz w:val="28"/>
          <w:szCs w:val="28"/>
        </w:rPr>
        <w:t xml:space="preserve"> Губернатора Саратовской области от 22 ноября 2022 года N 449 "О распределении обязанностей".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24.03.2023 </w:t>
      </w:r>
      <w:hyperlink r:id="rId44">
        <w:r w:rsidRPr="00E47BF2">
          <w:rPr>
            <w:rFonts w:ascii="PT Astra Serif" w:hAnsi="PT Astra Serif"/>
            <w:sz w:val="28"/>
            <w:szCs w:val="28"/>
          </w:rPr>
          <w:t>N 252-П</w:t>
        </w:r>
      </w:hyperlink>
      <w:r w:rsidRPr="00E47BF2">
        <w:rPr>
          <w:rFonts w:ascii="PT Astra Serif" w:hAnsi="PT Astra Serif"/>
          <w:sz w:val="28"/>
          <w:szCs w:val="28"/>
        </w:rPr>
        <w:t xml:space="preserve">, от 18.12.2024 </w:t>
      </w:r>
      <w:hyperlink r:id="rId45">
        <w:r w:rsidRPr="00E47BF2">
          <w:rPr>
            <w:rFonts w:ascii="PT Astra Serif" w:hAnsi="PT Astra Serif"/>
            <w:sz w:val="28"/>
            <w:szCs w:val="28"/>
          </w:rPr>
          <w:t>N 1058-П</w:t>
        </w:r>
      </w:hyperlink>
      <w:r w:rsidRPr="00E47BF2">
        <w:rPr>
          <w:rFonts w:ascii="PT Astra Serif" w:hAnsi="PT Astra Serif"/>
          <w:sz w:val="28"/>
          <w:szCs w:val="28"/>
        </w:rPr>
        <w:t>)</w:t>
      </w:r>
    </w:p>
    <w:p w:rsidR="00E47BF2" w:rsidRPr="00E47BF2" w:rsidRDefault="00E47BF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6">
        <w:r w:rsidRPr="00E47BF2">
          <w:rPr>
            <w:rFonts w:ascii="PT Astra Serif" w:hAnsi="PT Astra Serif"/>
            <w:sz w:val="28"/>
            <w:szCs w:val="28"/>
          </w:rPr>
          <w:t>10</w:t>
        </w:r>
      </w:hyperlink>
      <w:r w:rsidRPr="00E47BF2">
        <w:rPr>
          <w:rFonts w:ascii="PT Astra Serif" w:hAnsi="PT Astra Serif"/>
          <w:sz w:val="28"/>
          <w:szCs w:val="28"/>
        </w:rPr>
        <w:t>. Настоящее постановление вступает в силу со дня его подписания.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Губернатор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Саратовской области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П.Л.ИПАТОВ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к постановлению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от 29 марта 2011 г. N 165-П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56"/>
      <w:bookmarkEnd w:id="1"/>
      <w:r w:rsidRPr="00E47BF2">
        <w:rPr>
          <w:rFonts w:ascii="PT Astra Serif" w:hAnsi="PT Astra Serif"/>
          <w:sz w:val="28"/>
          <w:szCs w:val="28"/>
        </w:rPr>
        <w:t>ПЛАН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МЕРОПРИЯТИЙ ПО ПОВЫШЕНИЮ НАЛОГОВЫХ И НЕНАЛОГОВЫХ ДОХОДОВ,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СОКРАЩЕНИЮ НЕДОИМКИ ПО УПЛАТЕ НАЛОГОВ В </w:t>
      </w:r>
      <w:proofErr w:type="gramStart"/>
      <w:r w:rsidRPr="00E47BF2">
        <w:rPr>
          <w:rFonts w:ascii="PT Astra Serif" w:hAnsi="PT Astra Serif"/>
          <w:sz w:val="28"/>
          <w:szCs w:val="28"/>
        </w:rPr>
        <w:t>КОНСОЛИДИРОВАННЫЙ</w:t>
      </w:r>
      <w:proofErr w:type="gramEnd"/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БЮДЖЕТ САРАТОВСКОЙ ОБЛАСТИ</w:t>
      </w:r>
    </w:p>
    <w:p w:rsidR="00E47BF2" w:rsidRPr="00E47BF2" w:rsidRDefault="00E47BF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47BF2" w:rsidRPr="00E47B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29.12.2017 </w:t>
            </w:r>
            <w:hyperlink r:id="rId47">
              <w:r w:rsidRPr="00E47BF2">
                <w:rPr>
                  <w:rFonts w:ascii="PT Astra Serif" w:hAnsi="PT Astra Serif"/>
                  <w:sz w:val="28"/>
                  <w:szCs w:val="28"/>
                </w:rPr>
                <w:t>N 736-П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25.01.2019 </w:t>
            </w:r>
            <w:hyperlink r:id="rId48">
              <w:r w:rsidRPr="00E47BF2">
                <w:rPr>
                  <w:rFonts w:ascii="PT Astra Serif" w:hAnsi="PT Astra Serif"/>
                  <w:sz w:val="28"/>
                  <w:szCs w:val="28"/>
                </w:rPr>
                <w:t>N 32-П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16.05.2022 </w:t>
            </w:r>
            <w:hyperlink r:id="rId49">
              <w:r w:rsidRPr="00E47BF2">
                <w:rPr>
                  <w:rFonts w:ascii="PT Astra Serif" w:hAnsi="PT Astra Serif"/>
                  <w:sz w:val="28"/>
                  <w:szCs w:val="28"/>
                </w:rPr>
                <w:t>N 363-П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24.03.2023 </w:t>
            </w:r>
            <w:hyperlink r:id="rId50">
              <w:r w:rsidRPr="00E47BF2">
                <w:rPr>
                  <w:rFonts w:ascii="PT Astra Serif" w:hAnsi="PT Astra Serif"/>
                  <w:sz w:val="28"/>
                  <w:szCs w:val="28"/>
                </w:rPr>
                <w:t>N 252-П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rPr>
          <w:rFonts w:ascii="PT Astra Serif" w:hAnsi="PT Astra Serif"/>
          <w:sz w:val="28"/>
          <w:szCs w:val="28"/>
        </w:rPr>
        <w:sectPr w:rsidR="00E47BF2" w:rsidRPr="00E47BF2" w:rsidSect="0020008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320"/>
        <w:gridCol w:w="1587"/>
        <w:gridCol w:w="3515"/>
        <w:gridCol w:w="3600"/>
      </w:tblGrid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Срок исполнения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Ожидаемый результат</w:t>
            </w:r>
          </w:p>
        </w:tc>
      </w:tr>
      <w:tr w:rsidR="00E47BF2" w:rsidRPr="00E47BF2">
        <w:tc>
          <w:tcPr>
            <w:tcW w:w="13562" w:type="dxa"/>
            <w:gridSpan w:val="5"/>
          </w:tcPr>
          <w:p w:rsidR="00E47BF2" w:rsidRPr="00E47BF2" w:rsidRDefault="00E47BF2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Раздел I. МЕРОПРИЯТИЯ ПО ПОВЫШЕНИЮ НАЛОГОВЫХ И НЕНАЛОГОВЫХ ДОХОДОВ</w:t>
            </w:r>
          </w:p>
        </w:tc>
      </w:tr>
      <w:tr w:rsidR="00E47BF2" w:rsidRPr="00E47BF2">
        <w:tc>
          <w:tcPr>
            <w:tcW w:w="540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Проведение мониторинга и анализа основных показателей производственной и финансово-экономической деятельности организаций, филиалов и обособленных подразделений вертикально интегрированных компаний, консолидированных групп налогоплательщиков. Создание ведомственных рабочих экспертных групп по мониторингу финансово-экономических показателей деятельности организаций:</w:t>
            </w:r>
          </w:p>
        </w:tc>
        <w:tc>
          <w:tcPr>
            <w:tcW w:w="1587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ежемесячно</w:t>
            </w:r>
          </w:p>
        </w:tc>
        <w:tc>
          <w:tcPr>
            <w:tcW w:w="3515" w:type="dxa"/>
            <w:vMerge w:val="restart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межведомственная комиссия по обеспечению поступлений налоговых и неналоговых доходов в консолидированный бюджет области, министерство промышленности и энергетики области, министерство сельского хозяйства области, министерство строительства и жилищно-коммунального хозяйства области, министерство экономического развития области, министерство транспорта и дорожного хозяйства области</w:t>
            </w:r>
          </w:p>
        </w:tc>
        <w:tc>
          <w:tcPr>
            <w:tcW w:w="3600" w:type="dxa"/>
            <w:vMerge w:val="restart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обеспечение исполнения прогноза социально-экономического развития области, учтенного при формировании доходной части консолидированного бюджета области; принятие оперативных решений при возникновении ситуаций, имеющих негативные последствия для исполнения консолидированного бюджета области по доходам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nil"/>
              <w:bottom w:val="nil"/>
            </w:tcBorders>
          </w:tcPr>
          <w:p w:rsidR="00E47BF2" w:rsidRPr="00E47BF2" w:rsidRDefault="00E47BF2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выплачивающих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заработную плату ниже среднеотраслевого уровня;</w:t>
            </w:r>
          </w:p>
        </w:tc>
        <w:tc>
          <w:tcPr>
            <w:tcW w:w="1587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15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nil"/>
              <w:bottom w:val="nil"/>
            </w:tcBorders>
          </w:tcPr>
          <w:p w:rsidR="00E47BF2" w:rsidRPr="00E47BF2" w:rsidRDefault="00E47BF2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имеющих низкие темпы или отрицательную динамику налоговых поступлений в консолидированный бюджет области;</w:t>
            </w:r>
          </w:p>
        </w:tc>
        <w:tc>
          <w:tcPr>
            <w:tcW w:w="1587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15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nil"/>
              <w:bottom w:val="nil"/>
            </w:tcBorders>
          </w:tcPr>
          <w:p w:rsidR="00E47BF2" w:rsidRPr="00E47BF2" w:rsidRDefault="00E47BF2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имеющих удельный уровень налоговых платежей ниже, чем по аналогичным организациям отрасли;</w:t>
            </w:r>
          </w:p>
        </w:tc>
        <w:tc>
          <w:tcPr>
            <w:tcW w:w="1587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15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540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имеющих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убытки от производственной деятельности</w:t>
            </w:r>
          </w:p>
        </w:tc>
        <w:tc>
          <w:tcPr>
            <w:tcW w:w="1587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515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Содействие созданию новых организаций и производств (в том числе с привлечением иностранного капитала), реализации значимых инвестиционных проектов, максимальному привлечению к участию в реализации инвестиционных проектов организаций, находящихся на территории области</w:t>
            </w:r>
          </w:p>
        </w:tc>
        <w:tc>
          <w:tcPr>
            <w:tcW w:w="158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промышленности и энергетики области, министерство сельского хозяйства области, министерство экономического развития области, министерство строительства и жилищно-коммунального хозяйства области</w:t>
            </w: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рост налоговой базы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51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25.01.2019 N 32-П)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Мониторинг хода реализации инвестиционных проектов, программ реконструкции, модернизации и технического перевооружения, в том числе ввода в эксплуатацию, постановки на налоговый учет основных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фондов</w:t>
            </w:r>
          </w:p>
        </w:tc>
        <w:tc>
          <w:tcPr>
            <w:tcW w:w="158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515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министерство промышленности и энергетики области, министерство сельского хозяйства области, министерство экономического развития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министерство строительства и жилищно-коммунального хозяйства области</w:t>
            </w: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рост налоговой базы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52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25.01.2019 N 32-П)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Проведение работы с организациями по увеличению выпуска конечной продукции с высокой добавленной стоимостью, повышению рентабельности производства. Содействие продвижению продукции организаций внутри и за пределами области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промышленности и энергетики области, министерство сельского хозяйства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рост налоговой базы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Обеспечение заключения соглашений о взаимном сотрудничестве между Правительством области и крупными организациями области, предусматривающих соответствующий уровень налоговых платежей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ежегодно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министерство промышленности и энергетики области, министерство сельского хозяйства области, министерство строительства и жилищно-коммунального хозяйства области, министерство экономического развития области, министерство транспорта и дорожного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хозяйства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обеспечение темпов роста налоговых поступлений от организаций, заключивших соглашения о взаимном сотрудничестве с Правительством области, не ниже темпов роста объемов производства товаров (работ, услуг)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6.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Содействие увеличению загрузки производственных мощностей организаций, росту объемов производства, расширению кооперационных связей, снижению производственных издержек, модернизации, реконструкции, техническому переоснащению производств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промышленности и энергетики области, министерство сельского хозяйства области,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налогооблагаемой прибыли; рост налоговых платежей организаций относительно предыдущего налогового периода не менее чем на 5 процентов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Содействие формированию портфеля государственных заказов на производство и ремонт вооружений и военной техники, работа с государственной корпорацией "</w:t>
            </w:r>
            <w:proofErr w:type="spellStart"/>
            <w:r w:rsidRPr="00E47BF2">
              <w:rPr>
                <w:rFonts w:ascii="PT Astra Serif" w:hAnsi="PT Astra Serif"/>
                <w:sz w:val="28"/>
                <w:szCs w:val="28"/>
              </w:rPr>
              <w:t>Ростехнологии</w:t>
            </w:r>
            <w:proofErr w:type="spellEnd"/>
            <w:r w:rsidRPr="00E47BF2">
              <w:rPr>
                <w:rFonts w:ascii="PT Astra Serif" w:hAnsi="PT Astra Serif"/>
                <w:sz w:val="28"/>
                <w:szCs w:val="28"/>
              </w:rPr>
              <w:t>" по загрузке производственных мощностей организаций корпорации, расположенных на территории области, модернизации, диверсификации, техническому перевооружению производств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промышленности и энергетики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налоговой базы по налогу на прибыль организаций, налогу на доходы физических лиц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Осуществление работы по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сокращению числа кризисных организаций, привлечение на них эффективных инвесторов</w:t>
            </w:r>
          </w:p>
        </w:tc>
        <w:tc>
          <w:tcPr>
            <w:tcW w:w="158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 течение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3515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промышленности и энергетики области, министерство сельского хозяйства области, министерство экономического развития области, министерство транспорта и дорожного хозяйства области</w:t>
            </w: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стабилизация работы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организаций, минимизация объемов безнадежной к взысканию недоимки по налоговым платежам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53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25.01.2019 N 32-П)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Проведение работы с руководителями холдингов, головных компаний, вертикально интегрированных структур по загрузке и развитию организаций и производств, расположенных на территории области, формированию в области "центров затрат прибыли", модернизации и техническому переоснащению, освоению производства новых изделий, направлений деятельности, включению в систему кооперационных поставок, содействию продвижению продукции внутри и за пределами области,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привлечению в область проектов, позволяющих увеличить уровень технологических переделов, созданию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центров компетенции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по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вакуумной СВЧ-электронике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промышленности и энергетики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налоговой базы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Содействие участию промышленных и научных организаций области в реализации федеральной адресной инвестиционной программы, федеральных целевых программ и государственной </w:t>
            </w:r>
            <w:hyperlink r:id="rId54">
              <w:r w:rsidRPr="00E47BF2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Российской Федерации "Развитие промышленности и повышение ее конкурентоспособности"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промышленности и энергетики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налоговой базы по налогу на прибыль организаций, налогу на доходы физических лиц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Привлечение в соответствии с законодательством средств Фонда содействия реформированию жилищно-коммунального хозяйства на выполнение работ по капитальному ремонту многоквартирных домов и строительству жилых домов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налоговой базы по налогу на прибыль организаций, налогу на доходы физических лиц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Осуществление работы по продвижению продукции организаций области на рынки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других субъектов Российской Федерации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министерство строительства и жилищно-коммунального хозяйства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министерство промышленности и энергетики области, министерство сельского хозяйства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рост налоговой базы по налогу на прибыль организаций за счет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расширения рынка сбыта продукции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Создание и размещение на сайте Правительства области каталога продукции, выпускаемой организациями промышленности строительных материалов и стройиндустрии области, в целях содействия межотраслевой внутриобластной, межрегиональной кооперации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ежегодно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рост налоговой базы по налогу на прибыль организаций за счет увеличения спроса на продукцию строительного комплекса области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Обеспечение роста заработной платы в соответствии с целевыми показателями </w:t>
            </w:r>
            <w:hyperlink r:id="rId55">
              <w:r w:rsidRPr="00E47BF2">
                <w:rPr>
                  <w:rFonts w:ascii="PT Astra Serif" w:hAnsi="PT Astra Serif"/>
                  <w:sz w:val="28"/>
                  <w:szCs w:val="28"/>
                </w:rPr>
                <w:t>Плана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мероприятий по реализации Стратегии социально-экономического развития Саратовской области до 2030 года, уход от простоев, неполной занятости, создание новых высокопроизводительных рабочих мест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промышленности и энергетики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рост налоговой базы по налогу на доходы физических лиц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Организация работы по исполнению </w:t>
            </w:r>
            <w:hyperlink r:id="rId56">
              <w:r w:rsidRPr="00E47BF2">
                <w:rPr>
                  <w:rFonts w:ascii="PT Astra Serif" w:hAnsi="PT Astra Serif"/>
                  <w:sz w:val="28"/>
                  <w:szCs w:val="28"/>
                </w:rPr>
                <w:t>Соглашения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между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Правительством Саратовской области, Федерацией профсоюзных организаций Саратовской области и Союзом товаропроизводителей и работодателей Саратовской области на 2022 - 2024 годы в части сохранения среднемесячной заработной платы во внебюджетном секторе экономики на уровне не ниже предыдущего года и недопущения ее снижения</w:t>
            </w:r>
          </w:p>
        </w:tc>
        <w:tc>
          <w:tcPr>
            <w:tcW w:w="158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3515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министерство труда и социальной защиты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исполнительные органы области</w:t>
            </w: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рост налоговой базы по налогу на доходы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физических лиц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16.05.2022 </w:t>
            </w:r>
            <w:hyperlink r:id="rId57">
              <w:r w:rsidRPr="00E47BF2">
                <w:rPr>
                  <w:rFonts w:ascii="PT Astra Serif" w:hAnsi="PT Astra Serif"/>
                  <w:sz w:val="28"/>
                  <w:szCs w:val="28"/>
                </w:rPr>
                <w:t>N 363-П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24.03.2023 </w:t>
            </w:r>
            <w:hyperlink r:id="rId58">
              <w:r w:rsidRPr="00E47BF2">
                <w:rPr>
                  <w:rFonts w:ascii="PT Astra Serif" w:hAnsi="PT Astra Serif"/>
                  <w:sz w:val="28"/>
                  <w:szCs w:val="28"/>
                </w:rPr>
                <w:t>N 252-П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Осуществление контроля за выполнением условий отраслевого соглашения между министерством сельского хозяйства области, Саратовской областной организацией Профессионального союза работников агропромышленного комплекса Российской Федерации, Ассоциацией крестьянских хозяйств и сельскохозяйственных кооперативов Саратовской области "Возрождение" 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Агропромышленным союзом Саратовской области на 2016 - 2018 годы в части повышения уровня среднемесячной заработной платы и ее своевременной индексации.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Мониторинг причин простоев, неполной занятости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сельского хозяйства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доведение уровня заработной платы в сельском хозяйстве до 68 процентов от уровня средней заработной платы по Саратовской области;</w:t>
            </w:r>
          </w:p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установление размера тарифных ставок (окладов), а также базовых окладов, тарифных ставок заработной платы не ниже минимального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размера оплаты труда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установленного в регионе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Проведение совещаний с предпринимателями области с участием ведущих кредитных организаций области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по мере необходимости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информирование предпринимателей о действующих кредитных программах, увеличение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объемов кредитования реального сектора экономики области</w:t>
            </w:r>
            <w:proofErr w:type="gramEnd"/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Обеспечение увеличения уставного капитала акционерного общества "Гарантийный фонд для субъектов малого предпринимательства Саратовской области"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обеспечение роста портфеля выданных гарантий субъектам малого предпринимательства, реализующим инвестиционные и инновационные проекты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Обеспечение увеличения имущественного взноса в некоммерческую </w:t>
            </w:r>
            <w:proofErr w:type="spellStart"/>
            <w:r w:rsidRPr="00E47BF2">
              <w:rPr>
                <w:rFonts w:ascii="PT Astra Serif" w:hAnsi="PT Astra Serif"/>
                <w:sz w:val="28"/>
                <w:szCs w:val="28"/>
              </w:rPr>
              <w:t>микрофинансовую</w:t>
            </w:r>
            <w:proofErr w:type="spell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компанию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"Фонд микрокредитования субъектов малого предпринимательства Саратовской области"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объемов выданных займов субъектам малого предпринимательства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21.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Анализ эффективности предоставленных налоговых льгот. Направление результатов оценки в Саратовскую областную Думу и представительные органы местного самоуправления до внесения проектов бюджетов на очередной финансовый год и плановый период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ежегодно до 1 июля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области, органы местного самоуправления области (по согласованию)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ограничение объема налоговых льгот, установленных законами области, не более 6 процентов налоговых доходов областного бюджета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22.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На основании проведенного анализа эффективности предоставленных законодательством Саратовской области налоговых льгот рассмотрение вопросов об изменении оснований, порядков и условий применения налоговых льгот либо их отмене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ежегодно до 1 сентября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поступлений по налогу на имущество организаций, транспортному налогу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Проведение анализа финансово-хозяйственной деятельности государственных и муниципальных унитарных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предприятий для определения целесообразности их функционирования в организационно-правовой форме унитарного предприятия и оптимизации структуры имущества, находящегося в государственной и муниципальной собственности</w:t>
            </w:r>
          </w:p>
        </w:tc>
        <w:tc>
          <w:tcPr>
            <w:tcW w:w="158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ежегодно до 1 июля</w:t>
            </w:r>
          </w:p>
        </w:tc>
        <w:tc>
          <w:tcPr>
            <w:tcW w:w="3515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комитет по управлению имуществом области, исполнительные органы области, органы местного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самоуправления области (по согласованию)</w:t>
            </w: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получение дополнительных доходов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25.01.2019 </w:t>
            </w:r>
            <w:hyperlink r:id="rId59">
              <w:r w:rsidRPr="00E47BF2">
                <w:rPr>
                  <w:rFonts w:ascii="PT Astra Serif" w:hAnsi="PT Astra Serif"/>
                  <w:sz w:val="28"/>
                  <w:szCs w:val="28"/>
                </w:rPr>
                <w:t>N 32-П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24.03.2023 </w:t>
            </w:r>
            <w:hyperlink r:id="rId60">
              <w:r w:rsidRPr="00E47BF2">
                <w:rPr>
                  <w:rFonts w:ascii="PT Astra Serif" w:hAnsi="PT Astra Serif"/>
                  <w:sz w:val="28"/>
                  <w:szCs w:val="28"/>
                </w:rPr>
                <w:t>N 252-П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24.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Анализ структуры имущества, находящегося в государственной и муниципальной собственности, и утверждение плана мероприятий по повышению эффективности его использования</w:t>
            </w:r>
          </w:p>
        </w:tc>
        <w:tc>
          <w:tcPr>
            <w:tcW w:w="158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ежегодно</w:t>
            </w:r>
          </w:p>
        </w:tc>
        <w:tc>
          <w:tcPr>
            <w:tcW w:w="3515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области, органы местного самоуправления области (по согласованию)</w:t>
            </w: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рост доходов от имущества, находящегося в государственной и муниципальной собственности, не менее чем на 1 процент ежегодно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1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25.01.2019 N 32-П)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25.</w:t>
            </w:r>
          </w:p>
        </w:tc>
        <w:tc>
          <w:tcPr>
            <w:tcW w:w="13022" w:type="dxa"/>
            <w:gridSpan w:val="4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Утратил силу с 25 января 2019 года. - </w:t>
            </w:r>
            <w:hyperlink r:id="rId62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25.01.2019 N 32-П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26.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Вовлечение в оборот (приватизация) неиспользуемого имущества, находящегося в оперативном управлении областных учреждений</w:t>
            </w:r>
          </w:p>
        </w:tc>
        <w:tc>
          <w:tcPr>
            <w:tcW w:w="158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постоянно</w:t>
            </w:r>
          </w:p>
        </w:tc>
        <w:tc>
          <w:tcPr>
            <w:tcW w:w="3515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</w:t>
            </w: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неналоговых доходов областного бюджета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63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25.01.2019 N 32-П)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27.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Рассмотрение возможности увеличения ставок по региональным и местным налогам (в установленных законодательством пределах). Подготовка по итогам рассмотрения проектов соответствующих правовых актов</w:t>
            </w:r>
          </w:p>
        </w:tc>
        <w:tc>
          <w:tcPr>
            <w:tcW w:w="158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ежегодно</w:t>
            </w:r>
          </w:p>
        </w:tc>
        <w:tc>
          <w:tcPr>
            <w:tcW w:w="3515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исполнительные органы области, органы местного самоуправления области (по согласованию)</w:t>
            </w: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рост поступлений налогов в консолидированный бюджет области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4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28.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Организация работы по выявлению собственников жилых помещений, предоставивших указанные помещения по договорам найма (аренды) и уклоняющихся от уплаты налога на доходы физических лиц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области, Управление Федеральной налоговой службы по Саратовской области (по согласованию)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рост поступлений по налогу на доходы физических лиц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29.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Проведение работы по выявлению собственников земельных участков, недвижимого имущества, привлечение их к налогообложению. Содействие в оформлении прав собственности на недвижимое имущество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ежегодно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органы местного самоуправления области (по согласованию)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рост поступлений земельного налога и налога на имущество физических лиц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30.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Организация работы по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выявлению юридических и физических лиц, использующих земельные участки без правоустанавливающих документов. Передача материалов в уполномоченные органы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органы местного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самоуправления области (по согласованию)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увеличение объектов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налогообложения земельным налогом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31.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Выявление используемых не по целевому назначению (неиспользуемых) земель сельскохозяйственного назначения для применения к ним повышенной ставки налога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органы местного самоуправления области (по согласованию)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земельного налога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32.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Проведение работы с субъектами малого и среднего предпринимательства по легализации доходов. Проведение мероприятий по выявлению физических лиц, занимающихся предпринимательской деятельностью без регистрации в налоговом органе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органы местного самоуправления области (по согласованию)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налоговых доходов по единому налогу на вмененный доход, налога, взимаемого в связи с применением патентной системы налогообложения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33.</w:t>
            </w:r>
          </w:p>
        </w:tc>
        <w:tc>
          <w:tcPr>
            <w:tcW w:w="13022" w:type="dxa"/>
            <w:gridSpan w:val="4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Утратил силу с 25 января 2019 года. - </w:t>
            </w:r>
            <w:hyperlink r:id="rId65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25.01.2019 N 32-П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34.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Организация в рамках государственного экологического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надзора работы по выявлению неучтенных юридических лиц и индивидуальных предпринимателей, обязанных перечислять плату за негативное воздействие на окружающую среду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министерство природных ресурсов и экологии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органы местного самоуправления области (по согласованию), Управление Федеральной службы по надзору в сфере природопользования по Саратовской области (по согласованию)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увеличение поступления платы за негативное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воздействие на окружающую среду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35.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Развитие системы </w:t>
            </w:r>
            <w:proofErr w:type="spellStart"/>
            <w:r w:rsidRPr="00E47BF2">
              <w:rPr>
                <w:rFonts w:ascii="PT Astra Serif" w:hAnsi="PT Astra Serif"/>
                <w:sz w:val="28"/>
                <w:szCs w:val="28"/>
              </w:rPr>
              <w:t>фотовидеофиксации</w:t>
            </w:r>
            <w:proofErr w:type="spell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административных правонарушений в области дорожного движения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транспорта и дорожного хозяйства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увеличение поступления штрафов, налагаемых в соответствии с </w:t>
            </w:r>
            <w:hyperlink r:id="rId66">
              <w:r w:rsidRPr="00E47BF2">
                <w:rPr>
                  <w:rFonts w:ascii="PT Astra Serif" w:hAnsi="PT Astra Serif"/>
                  <w:sz w:val="28"/>
                  <w:szCs w:val="28"/>
                </w:rPr>
                <w:t>Кодексом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Российской Федерации об административных правонарушениях</w:t>
            </w:r>
          </w:p>
        </w:tc>
      </w:tr>
      <w:tr w:rsidR="00E47BF2" w:rsidRPr="00E47BF2">
        <w:tc>
          <w:tcPr>
            <w:tcW w:w="13562" w:type="dxa"/>
            <w:gridSpan w:val="5"/>
          </w:tcPr>
          <w:p w:rsidR="00E47BF2" w:rsidRPr="00E47BF2" w:rsidRDefault="00E47BF2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Раздел II. МЕРОПРИЯТИЯ ПО СОКРАЩЕНИЮ ЗАДОЛЖЕННОСТИ ПО НАЛОГОВЫМ И НЕНАЛОГОВЫМ ДОХОДАМ КОНСОЛИДИРОВАННОГО БЮДЖЕТА ОБЛАСТИ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Инвентаризация имеющейся задолженности по неналоговым доходам. Проведение мероприятий по претензионной работе и передаче материалов в суд для взыскания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ежегодно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администраторы доходов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снижение задолженности по неналоговым доходам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54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43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Проведение работы с организациями и индивидуальными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предпринимателями, имеющими задолженность по налоговым платежам, начисленным пеням и штрафам в консолидированный бюджет области свыше 1 млн. рублей, на основании данных налоговых органов</w:t>
            </w:r>
          </w:p>
        </w:tc>
        <w:tc>
          <w:tcPr>
            <w:tcW w:w="158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515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исполнительные органы области, Управление Федеральной налоговой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службы по Саратовской области (по согласованию)</w:t>
            </w: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сокращение размера задолженности по налогам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67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c>
          <w:tcPr>
            <w:tcW w:w="54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432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Мониторинг деятельности муниципальных межведомственных комиссий по вопросам увеличения налоговой базы, укрепления финансовой и налоговой дисциплины, легализации заработной платы, в том числе в части принятия мер к организациям и индивидуальным предпринимателям, имеющим недоимку по налоговым платежам</w:t>
            </w:r>
          </w:p>
        </w:tc>
        <w:tc>
          <w:tcPr>
            <w:tcW w:w="158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года</w:t>
            </w:r>
          </w:p>
        </w:tc>
        <w:tc>
          <w:tcPr>
            <w:tcW w:w="3515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сокращение размера задолженности по налогам</w:t>
            </w:r>
          </w:p>
        </w:tc>
      </w:tr>
      <w:tr w:rsidR="00E47BF2" w:rsidRPr="00E47BF2">
        <w:tc>
          <w:tcPr>
            <w:tcW w:w="9962" w:type="dxa"/>
            <w:gridSpan w:val="4"/>
            <w:vMerge w:val="restart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Реализация мероприятий предполагает обеспечить увеличение налоговых и неналоговых доходов консолидированного бюджета области:</w:t>
            </w: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2017 году - на 5,1 процента к 2016 году</w:t>
            </w:r>
          </w:p>
        </w:tc>
      </w:tr>
      <w:tr w:rsidR="00E47BF2" w:rsidRPr="00E47BF2">
        <w:tc>
          <w:tcPr>
            <w:tcW w:w="9962" w:type="dxa"/>
            <w:gridSpan w:val="4"/>
            <w:vMerge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2018 году - на 4,7 процента к 2017 году</w:t>
            </w:r>
          </w:p>
        </w:tc>
      </w:tr>
      <w:tr w:rsidR="00E47BF2" w:rsidRPr="00E47BF2">
        <w:tc>
          <w:tcPr>
            <w:tcW w:w="9962" w:type="dxa"/>
            <w:gridSpan w:val="4"/>
            <w:vMerge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2019 году - на 5,1 процента к 2018 году</w:t>
            </w:r>
          </w:p>
        </w:tc>
      </w:tr>
      <w:tr w:rsidR="00E47BF2" w:rsidRPr="00E47BF2">
        <w:tc>
          <w:tcPr>
            <w:tcW w:w="9962" w:type="dxa"/>
            <w:gridSpan w:val="4"/>
            <w:vMerge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2020 году - на 0,1 процента к 2019 году</w:t>
            </w:r>
          </w:p>
        </w:tc>
      </w:tr>
      <w:tr w:rsidR="00E47BF2" w:rsidRPr="00E47BF2">
        <w:tc>
          <w:tcPr>
            <w:tcW w:w="9962" w:type="dxa"/>
            <w:gridSpan w:val="4"/>
            <w:vMerge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2021 году - на 3,4 процента к 2020 году</w:t>
            </w:r>
          </w:p>
        </w:tc>
      </w:tr>
      <w:tr w:rsidR="00E47BF2" w:rsidRPr="00E47BF2">
        <w:tc>
          <w:tcPr>
            <w:tcW w:w="9962" w:type="dxa"/>
            <w:gridSpan w:val="4"/>
            <w:vMerge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2022 году - на 0,0 процента к 2021 году</w:t>
            </w:r>
          </w:p>
        </w:tc>
      </w:tr>
      <w:tr w:rsidR="00E47BF2" w:rsidRPr="00E47BF2">
        <w:tc>
          <w:tcPr>
            <w:tcW w:w="9962" w:type="dxa"/>
            <w:gridSpan w:val="4"/>
            <w:vMerge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2023 году - на 4,8 процента к 2022 году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9962" w:type="dxa"/>
            <w:gridSpan w:val="4"/>
            <w:vMerge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60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2024 году - на 5,5 процента к 2023 году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3562" w:type="dxa"/>
            <w:gridSpan w:val="5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8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</w:tbl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Приложение N 2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к постановлению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от 29 марта 2011 г. N 165-П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87"/>
      <w:bookmarkEnd w:id="2"/>
      <w:r w:rsidRPr="00E47BF2">
        <w:rPr>
          <w:rFonts w:ascii="PT Astra Serif" w:hAnsi="PT Astra Serif"/>
          <w:sz w:val="28"/>
          <w:szCs w:val="28"/>
        </w:rPr>
        <w:t>ПЛАН МЕРОПРИЯТИЙ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ПО РОСТУ ДОХОДОВ БЮДЖЕТА, ОПТИМИЗАЦИИ РАСХОДОВ БЮДЖЕТА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И СОКРАЩЕНИЮ ГОСУДАРСТВЕННОГО ДОЛГА В ЦЕЛЯХ ОЗДОРОВЛЕНИЯ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ГОСУДАРСТВЕННЫХ ФИНАНСОВ САРАТОВСКОЙ ОБЛАСТИ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lastRenderedPageBreak/>
        <w:t>НА ПЕРИОД ДО 2024 ГОДА</w:t>
      </w:r>
    </w:p>
    <w:p w:rsidR="00E47BF2" w:rsidRPr="00E47BF2" w:rsidRDefault="00E47BF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5758"/>
        <w:gridCol w:w="113"/>
      </w:tblGrid>
      <w:tr w:rsidR="00E47BF2" w:rsidRPr="00E47B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 23.12.2019 </w:t>
            </w:r>
            <w:hyperlink r:id="rId69">
              <w:r w:rsidRPr="00E47BF2">
                <w:rPr>
                  <w:rFonts w:ascii="PT Astra Serif" w:hAnsi="PT Astra Serif"/>
                  <w:sz w:val="28"/>
                  <w:szCs w:val="28"/>
                </w:rPr>
                <w:t>N 900-П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16.05.2022 </w:t>
            </w:r>
            <w:hyperlink r:id="rId70">
              <w:r w:rsidRPr="00E47BF2">
                <w:rPr>
                  <w:rFonts w:ascii="PT Astra Serif" w:hAnsi="PT Astra Serif"/>
                  <w:sz w:val="28"/>
                  <w:szCs w:val="28"/>
                </w:rPr>
                <w:t>N 363-П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, от 24.03.2023 </w:t>
            </w:r>
            <w:hyperlink r:id="rId71">
              <w:r w:rsidRPr="00E47BF2">
                <w:rPr>
                  <w:rFonts w:ascii="PT Astra Serif" w:hAnsi="PT Astra Serif"/>
                  <w:sz w:val="28"/>
                  <w:szCs w:val="28"/>
                </w:rPr>
                <w:t>N 252-П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3"/>
        <w:gridCol w:w="2483"/>
        <w:gridCol w:w="1846"/>
        <w:gridCol w:w="1530"/>
        <w:gridCol w:w="1064"/>
        <w:gridCol w:w="1064"/>
        <w:gridCol w:w="1064"/>
        <w:gridCol w:w="1064"/>
        <w:gridCol w:w="1064"/>
        <w:gridCol w:w="1064"/>
        <w:gridCol w:w="1064"/>
        <w:gridCol w:w="1064"/>
        <w:gridCol w:w="1064"/>
      </w:tblGrid>
      <w:tr w:rsidR="00E47BF2" w:rsidRPr="00E47BF2">
        <w:tc>
          <w:tcPr>
            <w:tcW w:w="850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334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Мероприятия</w:t>
            </w:r>
          </w:p>
        </w:tc>
        <w:tc>
          <w:tcPr>
            <w:tcW w:w="2267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Ответственные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за реализацию мероприятий</w:t>
            </w:r>
          </w:p>
        </w:tc>
        <w:tc>
          <w:tcPr>
            <w:tcW w:w="1020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Срок реализации</w:t>
            </w:r>
          </w:p>
        </w:tc>
        <w:tc>
          <w:tcPr>
            <w:tcW w:w="10206" w:type="dxa"/>
            <w:gridSpan w:val="9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Финансовая оценка, тыс. рублей</w:t>
            </w: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2020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2021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Меры по увеличению поступлений налоговых и неналоговых доходов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Пересмотр налоговых льгот, предоставляемых органами государственной власти и органами местного самоуправления Саратовской области по налогам и сборам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Отмена льгот по налогу на имущество организаций, предоставляемых организациям, - в отношении автомобильных дорог общего пользования, находящихся в государственной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собственности области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области, министерство транспорта и дорожного хозяйства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787000,0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787000,0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787000,0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787000,0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1.1.2.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Отмена (при необходимости замена на субсидии) льгот по налогу на имущество организаций, предоставляемых организациям, осуществляющим производство сельскохозяйственной продукции, ее первичную и последующую (промышленную) переработку (в том числе на арендованных средствах) в соответствии с перечнем указанной продукции, утверждаемым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Правительством Российской Федерации согласно Федеральному </w:t>
            </w:r>
            <w:hyperlink r:id="rId72">
              <w:r w:rsidRPr="00E47BF2">
                <w:rPr>
                  <w:rFonts w:ascii="PT Astra Serif" w:hAnsi="PT Astra Serif"/>
                  <w:sz w:val="28"/>
                  <w:szCs w:val="28"/>
                </w:rPr>
                <w:t>закону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"О развитии сельского хозяйства", и реализацию этой продукции при условии, что в общем доходе указанных организаций доля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от реализации произведенной ими сельскохозяйственной продукции и (или) переработанной продукции из сельскохозяйственного сырья собственного производства составляет не менее чем 50 процентов в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течение календарного года, - в отношении имущества, используемого ими для производства, переработки и хранения сельскохозяйственной продукции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области, министерство сельского хозяйства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106300,0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106300,0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106300,0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106300,0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1.1.3.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Изменение критериев предоставления льгот по налогу на прибыль организаций в части исключения инвестиционных проектов по реконструкции, модернизации и техническому перевооружению предприятий (или сокращению срока предоставления налоговой льготы с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5 лет до 1 года, по аналогии приобретения имущественного комплекса в рамках инвестиционного проекта в ходе процедур несостоятельности (банкротства), а также увеличения объема капитальных вложений в строительство с 650 до 2000 млн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>. рублей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436100,0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436100,0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436100,0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436100,0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1.1.4.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Отмена льгот по налогу на прибыль организаций, предоставляемых вновь создаваемым организациям-инвесторам (за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исключением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созданных путем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реорганизации действующих организаций), осуществившим капитальные вложения в основные средства, расположенные на территории области, в размере не менее 50 млн. рублей, а в строительстве - в размере не менее 1200 млн. рублей, реализующим инвестиционный проект в соответствии с приоритетными направлениями развития экономики области, в течение пяти налоговых периодов с момента отражения произведенных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капитальных вложений в бухгалтерском балансе организации-налогоплательщика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66200,0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66200,0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66200,0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66200,0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1.1.5.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Отмена льгот по налогу на прибыль организаций, предоставляемых организациям, осуществившим с 1 января 2013 года капитальные вложения в основные средства, расположенные на территории области, в размере не менее 650 млн. рублей, осуществляющим виды экономической деятельности, предусмотренные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группой </w:t>
            </w:r>
            <w:hyperlink r:id="rId73">
              <w:r w:rsidRPr="00E47BF2">
                <w:rPr>
                  <w:rFonts w:ascii="PT Astra Serif" w:hAnsi="PT Astra Serif"/>
                  <w:sz w:val="28"/>
                  <w:szCs w:val="28"/>
                </w:rPr>
                <w:t>20.14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(Производство прочих основных органических химических веществ) и (или) группой </w:t>
            </w:r>
            <w:hyperlink r:id="rId74">
              <w:r w:rsidRPr="00E47BF2">
                <w:rPr>
                  <w:rFonts w:ascii="PT Astra Serif" w:hAnsi="PT Astra Serif"/>
                  <w:sz w:val="28"/>
                  <w:szCs w:val="28"/>
                </w:rPr>
                <w:t>19.20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(Производство нефтепродуктов) раздела C (Обрабатывающие производства) и (или) группой </w:t>
            </w:r>
            <w:hyperlink r:id="rId75">
              <w:r w:rsidRPr="00E47BF2">
                <w:rPr>
                  <w:rFonts w:ascii="PT Astra Serif" w:hAnsi="PT Astra Serif"/>
                  <w:sz w:val="28"/>
                  <w:szCs w:val="28"/>
                </w:rPr>
                <w:t>47.30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(Торговля розничная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моторным топливом в специализированных магазинах) раздела G (Торговля оптовая и розничная; ремонт автотранспортных средств и мотоциклов) ОКВЭД, - в течение пяти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налоговых периодов, следующих за календарным годом, в котором сумма произведенных ими капитальных вложений в основные средства, расположенные на территории области, составила не менее 650 млн. рублей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86935,0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86935,0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1.1.6.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Совместно с органами местного самоуправления проработать возможность отмены льгот по земельному налогу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министерство финансов области, министерство экономического развития области, министерство по делам территориальных образований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органы местного самоуправления (по согласованию), УФНС по Саратовской области (по согласованию)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84800,0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84800,0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84800,0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84800,0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84800,0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84800,0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84800,0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84800,0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Пересмотр ставок транспортного налога: увеличение размера ставок для яхт и гидроциклов на 10 рублей, для автобусов, грузовых автомобилей, других самоходных транспортных средств, а также в отношении новых легковых автомобилей - на 2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рубля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6723,0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Проведение совместно с УФНС по Саратовской области (по согласованию) и органами местного самоуправления (по согласованию) работы по ликвидации недоимки по налогам и сборам (проведение комиссий по поступлению доходов, установление задания отраслевым исполнительным органам и органам местного самоуправления по работе с налогоплательщиками)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области, министерство экономического развития области, органы местного самоуправления (по согласованию), УФНС по Саратовской области (по согласованию)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725370,0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725370,0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725370,0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725370,0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725370,0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725370,0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725370,0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725370,0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725370,0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76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1.4.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Проработка мероприятий, направленных на увеличение производства алкогольной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продукции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на ООО "Первый Волжский Вино-Водочный Комбинат", ОАО "</w:t>
            </w:r>
            <w:proofErr w:type="spellStart"/>
            <w:r w:rsidRPr="00E47BF2">
              <w:rPr>
                <w:rFonts w:ascii="PT Astra Serif" w:hAnsi="PT Astra Serif"/>
                <w:sz w:val="28"/>
                <w:szCs w:val="28"/>
              </w:rPr>
              <w:t>Пивкомбинат</w:t>
            </w:r>
            <w:proofErr w:type="spell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Pr="00E47BF2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" и ООО "Пивзавод </w:t>
            </w:r>
            <w:proofErr w:type="spellStart"/>
            <w:r w:rsidRPr="00E47BF2">
              <w:rPr>
                <w:rFonts w:ascii="PT Astra Serif" w:hAnsi="PT Astra Serif"/>
                <w:sz w:val="28"/>
                <w:szCs w:val="28"/>
              </w:rPr>
              <w:t>Марксовский</w:t>
            </w:r>
            <w:proofErr w:type="spellEnd"/>
            <w:r w:rsidRPr="00E47BF2">
              <w:rPr>
                <w:rFonts w:ascii="PT Astra Serif" w:hAnsi="PT Astra Serif"/>
                <w:sz w:val="28"/>
                <w:szCs w:val="28"/>
              </w:rPr>
              <w:t>"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235600,0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388100,0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404200,0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404200,0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404200,0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110300,0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110300,0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110300,0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110300,0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1.5.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Дополнительная мобилизация налога на прибыль организаций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885000,0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1.6.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Дополнительная мобилизация налога на имущество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экономического развития области,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122900,0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1.7.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Расширение налоговой базы по налогу на имущество организаций в части незавершенного строительства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области, государственное казенное учреждение Саратовской области "Управление капитального строительства", 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2016 - 2018 годы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1.8.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Пересмотр ставки по налогу,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уплачиваемому в связи с применением упрощенной системы налогообложения, в сторону увеличения с 2017 года: по плательщикам, выбравшим в качестве объектов налогообложения доходы, уменьшенные на величину расходов, - до 15 процентов, по плательщикам, выбравшим в качестве объектов налогообложения доходы, - до 2 процентов, в дальнейшем рассмотреть вопрос об увеличении до максимальной</w:t>
            </w:r>
            <w:proofErr w:type="gramEnd"/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2017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62901,0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64789,0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67830,5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67830,5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1.9.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Пересмотр ставки по налогу на имущество организаций в части административно деловых и торговых центров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области, 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15750,0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31500,0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31500,0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31500,0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1.10.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Внести в </w:t>
            </w:r>
            <w:hyperlink r:id="rId77">
              <w:r w:rsidRPr="00E47BF2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введении на территории Саратовской области патентной системы налогообложения" положение, предусматривающее ежегодную, начиная с 2017 года, индексацию размера потенциально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возможного к получению индивидуальным предпринимателем годового дохода на коэффициент-дефлятор, пересмотр отдельных категорий и объема потенциально возможного дохода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15859,1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15859,1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15859,1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15859,1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1.11.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Увеличить объем поступлений неналоговых доходов в областной бюджет на 5 процентов, в том числе за счет проведения мероприятий по установлению эффективных ставок арендной платы за сдаваемое в аренду имущество</w:t>
            </w:r>
          </w:p>
        </w:tc>
        <w:tc>
          <w:tcPr>
            <w:tcW w:w="2267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области, министерство финансов области</w:t>
            </w:r>
          </w:p>
        </w:tc>
        <w:tc>
          <w:tcPr>
            <w:tcW w:w="1020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51818,0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51818,0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51818,0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51818,0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51818,0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42500,0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42500,0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42500,0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42500,0</w:t>
            </w: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Продолжить активную инвентаризацию имущества, находящегося в государственной собственности: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выявление неиспользуемого (бесхозяйного) и установление направления его эффективного использования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определение и утверждение перечня сдаваемого в аренду имущества с целью увеличения доходов, получаемых в виде арендной платы или иной платы за сдачу во временное владение 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пользование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выявление неиспользуемых основных фондов государственных учреждений и принятие соответствующих мер по их продаже или сдаче в аренду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отказ от предоставления в безвозмездное пользование государственного имущества, за исключением случаев, когда указанное предоставление необходимо в силу требований федерального законодательства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1.12.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Обеспечить увеличение объема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поступлений неналоговых доходов в местные бюджеты на 5 процентов, в том числе за счет проведения с органами местного самоуправления мероприятий по установлению эффективных ставок арендной платы за сдаваемое в аренду имущество муниципальных образований и земельные участки, находящиеся в муниципальной собственности, а также государственная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собственность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на которые не разграничена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комитет по управлению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имуществом области, министерство финансов области, министерство по делам территориальных образований области, органы местного самоуправления (по согласованию)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2016 - 2018 годы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147550,0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147550,0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147550,0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147550,0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147550,0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1.13.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Провести полную мобилизацию доходов в виде дивидендов от участия в уставном капитале хозяйственных обществ, в дальнейшем рассмотреть целесообразность повышения размера дивидендов с 35 процентов (с 1 января 2016 года) до 50 процентов (с 1 января 2017 года)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17300,0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17300,0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1.14.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Вовлечение в налоговый оборот объектов недвижимости, включая земельные участки, в том числе: уточнение сведений об объектах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недвижимости; актуализация результатов государственной кадастровой оценки объектов недвижимости; представление сведений о земельных участках и иных объектах недвижимости в рамках информационного обмена; проведение муниципального земельного контроля. Выявление собственников земельных участков и другого недвижимого имущества и привлечение их к налогообложению,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содействие в оформлении прав собственности на земельные участки и имущество физическими лицами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финансов области, министерство экономического развития области, органы местного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самоуправления (по согласованию), УФНС по Саратовской области (по согласованию)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38290,0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40000,0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1.15.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Усилить аналитическую работу муниципальных образований в части эффективности установленных коэффициентов К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2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по единому налогу на вмененный доход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области, министерство финансов области, органы местного самоуправления (по согласованию), УФНС по Саратовской области (по согласованию)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2016 - 2017 годы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26700,0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26700,0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26700,0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26700,0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1.16.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Провести анализ причин снижения поступлений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налога на доходы физических лиц и связанной с ним мобилизации имущественных налогов с физических лиц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финансов области,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области, органы местного самоуправления (по согласованию), УФНС по Саратовской области (по согласованию)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1.17.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Усиление межведомственного взаимодействия исполнительных органов Саратовской области с территориальными органами федеральных органов исполнительной власти в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Саратовской области, правоохранительными органами и органами местного самоуправления по выполнению мероприятий, направленных на повышение собираемости доходов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финансов области, министерство экономического развития области, органы местного самоуправления (по согласованию), УФНС по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Саратовской области (по согласованию)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78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1.18.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Проведение мероприятий по легализации теневой (неформальной) занятости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министерство занятости, труда и миграции области, министерство труда и социальной защиты области, министерство финансов области, министерство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экономического развития области, органы местного самоуправления (по согласованию), УФНС по Саратовской области (по согласованию)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2016 - 2018 годы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45000,0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74000,0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99000,0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79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1.19.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Уточнить методику распределения дотаций на выравнивание бюджетной обеспеченности муниципальных районов (городских округов) в части создания стимулов для более полной мобилизации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налогового потенциала муниципальных образований. Учесть в налоговом потенциале земельный налог, налог, взимаемый в связи с применением патентной системы налогообложения, с учетом максимальных ставок и налоговых льгот, а также акцизы на нефтепродукты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1.20.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Стимулирование работы муниципальных образований по самообложению граждан, в том числе через реализацию на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региональном уровне программы поддержки местных инициатив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по делам территориальных образований области, министерство финансов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министерство экономического развития области, органы местного самоуправления (по согласованию)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2016 - 2018 годы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1.21.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Рассмотреть возможность предоставления иных межбюджетных трансфертов поощрительного (стимулирующего) характера или увязать предоставление дотации на поддержку мер по обеспечению сбалансированности местным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бюджетам с показателями увеличения доходов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1.22.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Обеспечить реализацию полномочия, установленного </w:t>
            </w:r>
            <w:hyperlink r:id="rId80">
              <w:r w:rsidRPr="00E47BF2">
                <w:rPr>
                  <w:rFonts w:ascii="PT Astra Serif" w:hAnsi="PT Astra Serif"/>
                  <w:sz w:val="28"/>
                  <w:szCs w:val="28"/>
                </w:rPr>
                <w:t>пунктом 4 статьи 61.1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Бюджетного кодекса Российской Федерации в части передачи с уровня муниципального района на уровень сельского поселения единых для всех сельских поселений нормативов отчислений от НДФЛ (в пределах до 8 процентов) и от ЕСХН (в пределах до 20 процентов)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1.23.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Внести изменения в </w:t>
            </w:r>
            <w:hyperlink r:id="rId81">
              <w:r w:rsidRPr="00E47BF2">
                <w:rPr>
                  <w:rFonts w:ascii="PT Astra Serif" w:hAnsi="PT Astra Serif"/>
                  <w:sz w:val="28"/>
                  <w:szCs w:val="28"/>
                </w:rPr>
                <w:t>Закон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Саратовской области "О дифференцированных нормативах отчислений в бюджеты муниципальных образований Саратовской области от 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E47BF2">
              <w:rPr>
                <w:rFonts w:ascii="PT Astra Serif" w:hAnsi="PT Astra Serif"/>
                <w:sz w:val="28"/>
                <w:szCs w:val="28"/>
              </w:rPr>
              <w:t>инжекторных</w:t>
            </w:r>
            <w:proofErr w:type="spellEnd"/>
            <w:r w:rsidRPr="00E47BF2">
              <w:rPr>
                <w:rFonts w:ascii="PT Astra Serif" w:hAnsi="PT Astra Serif"/>
                <w:sz w:val="28"/>
                <w:szCs w:val="28"/>
              </w:rPr>
              <w:t>) двигателей, производимые на территории Российской Федерации"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транспорта и дорожного хозяйства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1.24.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После изменения типа учреждения (с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казенного на бюджетное/автономное) обеспечить формирование государственного задания на оказание услуг МФЦ с учетом задач по увеличению поступления в доход областного бюджета государственной пошлины за совершение юридически значимых действий через МФЦ</w:t>
            </w:r>
            <w:proofErr w:type="gramEnd"/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управление делами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Правительства области, 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IV кв. 2016 года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82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1.25.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Увеличение налоговой базы по налогу на прибыль организаций и налогу на имущество организаций за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счет реализации значимых инвестиционных проектов на территории области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экономического развития области, министерство промышленности 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энергетики области, министерство сельского хозяйства области,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2023 - 2024 годы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375044,1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402422,3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1.25 введен </w:t>
            </w:r>
            <w:hyperlink r:id="rId83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</w:t>
            </w:r>
            <w:proofErr w:type="gramEnd"/>
          </w:p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N 363-П)</w:t>
            </w:r>
            <w:proofErr w:type="gramEnd"/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1.26.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Увеличение налоговой базы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по налогу на доходы физических лиц за счет создания новых рабочих мест в ходе реализации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инвестиционных проектов на территории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области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экономического развития области, министерство промышленности и энергетики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министерство сельского хозяйства области,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2023 - 2024 годы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57231,3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61180,3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1.26 введен </w:t>
            </w:r>
            <w:hyperlink r:id="rId84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</w:t>
            </w:r>
            <w:proofErr w:type="gramEnd"/>
          </w:p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N 363-П)</w:t>
            </w:r>
            <w:proofErr w:type="gramEnd"/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1.27.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Расширение налоговой базы за счет реализации инвестиционных проектов на территории опережающего социально-экономического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развития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области, министерство промышленности и энергетики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2023 - 2024 годы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5000,0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5000,0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1.27 введен </w:t>
            </w:r>
            <w:hyperlink r:id="rId85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</w:t>
            </w:r>
            <w:proofErr w:type="gramEnd"/>
          </w:p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N 363-П)</w:t>
            </w:r>
            <w:proofErr w:type="gramEnd"/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1.28.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Увеличение поступлений в бюджет доходов за счет повышения эффективности функционирования комплексов </w:t>
            </w:r>
            <w:proofErr w:type="spellStart"/>
            <w:r w:rsidRPr="00E47BF2">
              <w:rPr>
                <w:rFonts w:ascii="PT Astra Serif" w:hAnsi="PT Astra Serif"/>
                <w:sz w:val="28"/>
                <w:szCs w:val="28"/>
              </w:rPr>
              <w:t>фотовидеофиксации</w:t>
            </w:r>
            <w:proofErr w:type="spell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нарушений правил дорожного движения, а также увеличения количества комплексов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транспорта и дорожного хозяйства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2022 - 2024 годы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49021,0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51128,9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53276,3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(п. 1.28 введен </w:t>
            </w:r>
            <w:hyperlink r:id="rId86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</w:t>
            </w:r>
            <w:proofErr w:type="gramEnd"/>
          </w:p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N 363-П)</w:t>
            </w:r>
            <w:proofErr w:type="gramEnd"/>
          </w:p>
        </w:tc>
      </w:tr>
      <w:tr w:rsidR="00E47BF2" w:rsidRPr="00E47BF2">
        <w:tc>
          <w:tcPr>
            <w:tcW w:w="7481" w:type="dxa"/>
            <w:gridSpan w:val="4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Объем мобилизации доходов, всего: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2268828,0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3052471,1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3127186,1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3118162,6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3118162,6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962970,0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1011991,0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1451374,3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1484848,9</w:t>
            </w:r>
          </w:p>
        </w:tc>
      </w:tr>
      <w:tr w:rsidR="00E47BF2" w:rsidRPr="00E47BF2">
        <w:tc>
          <w:tcPr>
            <w:tcW w:w="17687" w:type="dxa"/>
            <w:gridSpan w:val="13"/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7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Меры по оптимизации расходов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2.1.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Государственная и муниципальная служба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Провести анализ функций органов государственной власти Саратовской области в целях выявления их дублирования и подготовить рекомендации по оптимизации, включая сокращение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численности работников соответствующих органов государственной власти Саратовской области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и расходов на их содержание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аппарат Губернатора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2.1.2.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Изменить тип ГКУ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СО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"Многофункциональный центр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предоставления государственных и муниципальных услуг" с казенного на бюджетное (или автономное)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управление делами Правительства области,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99222,0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99222,0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99222,0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99222,0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99222,0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99222,0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99222,0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99222,0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99222,0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88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2.1.3.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Оптимизировать финансовое обеспечение деятельности ГКУ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СО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"Многофункциональный центр предоставления государственных и муниципальных услуг" за счет средств областного бюджета в части оплаты труда (определить уровень средней заработной платы в целом по учреждению не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выше показателя среднемесячного дохода от трудовой деятельности в экономике области за отчетный год)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управление делами Правительства области, 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37338,4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37338,4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37338,4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37338,4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37338,4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37338,4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37338,4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37338,4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37338,4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89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2.1.4.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Установить нормативы формирования расходов на содержание органов местного самоуправления и на оплату труда депутатов и выборных должностных лиц для всех муниципальных образований области. Учитывать выполнение указанных нормативов при принятии решений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 предоставлении дополнительной финансовой поддержки из областного бюджета (бюджетных кредитов, дотаций на поддержку мер по обеспечению сбалансированности бюджетов)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53100,0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53100,0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Оптимизация бюджетной сети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2.2.1.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Провести согласование с соответствующими федеральными органами исполнительной власти изменения значений целевых показателей заработной платы, установленных в региональных планах мероприятий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("дорожных картах") изменений в отраслях социальной сферы, направленных на повышение эффективности образования и науки, культуры, здравоохранения и социального обслуживания населения, в части использования показателя среднемесячного дохода от трудовой деятельности и обеспечения уровня номинальной заработной платы в среднем по отдельным категориям работников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бюджетной сферы в размерах на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уровне, достигнутом в 2015 году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образования области, министерство здравоохранения области, министерство социального развития области, министерство культуры области, министерство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288217,1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2.2.2.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Соблюдение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показателей оптимизации численности работников отдельных категорий бюджетной сферы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в соответствии с утвержденными "дорожными картами"</w:t>
            </w:r>
          </w:p>
        </w:tc>
        <w:tc>
          <w:tcPr>
            <w:tcW w:w="2267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образования области, министерство здравоохранения области, министерство социального развития области, министерство культуры области, министерство финансов области</w:t>
            </w:r>
          </w:p>
        </w:tc>
        <w:tc>
          <w:tcPr>
            <w:tcW w:w="1020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321800,0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18426,6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18426,6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18426,6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18426,6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vMerge w:val="restart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Обеспечение своевременной корректировки "дорожных карт" в соответствии с реальными планами оптимизации бюджетной сети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Экономия в 2016 году составит: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по дошкольному образованию - 239,1 млн. рублей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по среднему профессиональному образованию - 61,7 млн. рублей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по дополнительному образованию - 21,0 млн. рублей</w:t>
            </w: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2.2.3.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Внести изменения в Порядок формирования государственного задания и финансового обеспечения выполнения государственного задания в части определения правила и сроков возврата субсидии в объеме, соответствующем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показателям государственного задания, которые не были достигнуты, с анализом субсидий на государственное задание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19667,4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19667,4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19667,4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19667,4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19667,4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19667,4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19667,4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19667,4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(п. 2.2.3 в ред. </w:t>
            </w:r>
            <w:hyperlink r:id="rId90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</w:t>
            </w:r>
            <w:proofErr w:type="gramEnd"/>
          </w:p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N 363-П)</w:t>
            </w:r>
            <w:proofErr w:type="gramEnd"/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2.2.4.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Проводить анализ и согласование с министерством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финансов Саратовской области порядка определения государственного задания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по бюджетным и автономным учреждениям, разработать стандарты оказания услуг, содержащие нормативы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материальных ресурсов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исполнительные органы 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2016 - 2024 годы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1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2.2.5.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методике по планированию бюджетных ассигнований предусмотреть использование при планировании бюджетных ассигнований на оказание государственных услуг (выполнение работ) бюджетными и автономными учреждениями базовых нормативов затрат и корректирующих коэффициентов к ним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2016 - 2024 годы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2.2.6.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Увеличение объема расходов за счет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доходов от внебюджетной деятельности областных бюджетных и автономных учреждений (в том числе за счет эффективного использования бюджетными и автономными учреждениями государственного имущества)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исполнительные органы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93309,6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93309,6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93309,6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93309,6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93309,6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93309,6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93309,6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93309,6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93309,6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2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2.2.7.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Рассмотреть меры и возможность дальнейшей централизации (специализации) функций по осуществлению закупок товаров, работ, услуг, по бухгалтерскому учету,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материально-техническому обеспечению, транспортному обслуживанию, обслуживанию и ремонту помещений, охране зданий государственных органов Саратовской области, а также централизации функций по юридическому сопровождению, кадровой работе, а также закупок муниципальных образований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управление делами Правительства области, министерство финансов области, исполнительные органы области, органы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местного самоуправления (по согласованию)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2017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3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2.2.8.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Рассмотреть возможность передачи учреждений в ведение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исполнительного органа (учредителя) с учетом "профиля" учредителя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финансов области, исполнительные органы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4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2.2.9.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Утвердить и реализовать комплекс мер по оптимизации управления имуществом областными бюджетными и автономными учреждениями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комитет по управлению имуществом области, министерство финансов области, исполнительные органы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2016 - 2019 годы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5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2.2.10.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Оптимизация расходов на укрепление материально-технической базы областных бюджетных и автономных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области, заинтересованные исполнительные органы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6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2.3.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Оптимизация мер социальной поддержки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2.3.1 - 2.3.5.</w:t>
            </w:r>
          </w:p>
        </w:tc>
        <w:tc>
          <w:tcPr>
            <w:tcW w:w="16837" w:type="dxa"/>
            <w:gridSpan w:val="12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Утратили силу с 16 мая 2022 года. - </w:t>
            </w:r>
            <w:hyperlink r:id="rId97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2.3.6.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Совершенствование административных процедур при назначении социальных выплат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социального развития области, министерство труда и социальной защиты 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37733,1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37733,1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37733,1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37733,1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37733,1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37733,1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37733,1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37733,1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8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2.3.7.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Оптимизация системы мер социальной поддержки области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 части установления ограничения размера доплаты к пенсии неработающим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социального развития области,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труда и социальной защиты 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IV кв. 2016 года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23195,0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23195,0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23195,0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23195,0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23195,0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23195,0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23195,0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23195,0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9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2.3.8.</w:t>
            </w:r>
          </w:p>
        </w:tc>
        <w:tc>
          <w:tcPr>
            <w:tcW w:w="16837" w:type="dxa"/>
            <w:gridSpan w:val="12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Утратил силу с 16 мая 2022 года. - </w:t>
            </w:r>
            <w:hyperlink r:id="rId100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2.3.9.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Оптимизация социальных выплат на оплату жилого помещения и коммунальных услуг ветеранам труда, ветеранам труда Саратовской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реабилитированным лицам, многодетным семьям, ветеранам Великой Отечественной войны за счет перехода на оплату фактически потребленных объемов коммунальных услуг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социального развития области, министерство труда и социальной защиты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200000,0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101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2.3.10.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Предоставление регионального материнского (семейного) капитала только при предоставлении федеральной части материнского капитала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социального развития области, министерство труда и социальной защиты 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52000,0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102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2.3.11.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Оптимизация расходов на обеспечение перевозки отдельных категорий граждан и обучающихся образовательных организаций транспортом общего пользования за счет внедрения с 1 января 2016 года единого социального проездного билета на 50 поездок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социального развития области, министерство труда и социальной защиты области, министерство финансов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101087,0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03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2.4.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Совершенствование межбюджетных отношений в Саратовской области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2.4.1.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Уточнить методику распределения дотаций на выравнивание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бюджетной обеспеченности муниципальных районов (городских округов) в части исключения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нормы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об определении объема дотации исходя из доли налоговых, неналоговых доходов областного бюджета и дотации на выравнивание бюджетной обеспеченности из федерального бюджета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2.4.2.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Уточнить порядок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определения объемов районных фондов финансовой поддержки поселений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распределения дотаций на выравнивание бюджетной обеспеченности поселений из бюджета муниципального района в части расчета индекса бюджетных расходов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2.4.3.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Продолжить работу на региональном уровне по преобразованию муниципальных образований путем их объединения, а также по передаче исполнения полномочий администраций поселений, являющихся административным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и центрами муниципальных районов, администрациям муниципальных районов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по делам территориальных образований области, органы местного самоуправления (по согласованию)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2017 - 2024 годы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2.4.4.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Внести изменения в бюджетное законодательство Саратовской области в части включения в состав документов и материалов, представляемых в областную Думу одновременно с проектом закона области об областном бюджете на очередной финансовый год и на плановый период, методики распределения дотаций на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поддержку мер по обеспечению сбалансированности местных бюджетов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2.4.5.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Рассмотреть целесообразность реализации механизма "отрицательного трансферта"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2.4.6.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Редакцию </w:t>
            </w:r>
            <w:hyperlink r:id="rId104">
              <w:r w:rsidRPr="00E47BF2">
                <w:rPr>
                  <w:rFonts w:ascii="PT Astra Serif" w:hAnsi="PT Astra Serif"/>
                  <w:sz w:val="28"/>
                  <w:szCs w:val="28"/>
                </w:rPr>
                <w:t>части 2 статьи 15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Закона Саратовской области "О межбюджетных отношениях в Саратовской области" в части перечисления "отрицательного трансферта" привести в соответствие с </w:t>
            </w:r>
            <w:hyperlink r:id="rId105">
              <w:r w:rsidRPr="00E47BF2">
                <w:rPr>
                  <w:rFonts w:ascii="PT Astra Serif" w:hAnsi="PT Astra Serif"/>
                  <w:sz w:val="28"/>
                  <w:szCs w:val="28"/>
                </w:rPr>
                <w:t>абзацем 1 пункта 5 статьи 142.2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Бюджетного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кодекса Российской Федерации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2.4.7.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Разработать общий порядок предоставления субсидий из областного бюджета местным бюджетам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2.4.8.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Внести изменения в </w:t>
            </w:r>
            <w:hyperlink r:id="rId106">
              <w:r w:rsidRPr="00E47BF2">
                <w:rPr>
                  <w:rFonts w:ascii="PT Astra Serif" w:hAnsi="PT Astra Serif"/>
                  <w:sz w:val="28"/>
                  <w:szCs w:val="28"/>
                </w:rPr>
                <w:t>перечень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расходных обязательств муниципальных образований области, возникающих при выполнении полномочий органов местного самоуправления по вопросам местного значения, в целях </w:t>
            </w:r>
            <w:proofErr w:type="spellStart"/>
            <w:r w:rsidRPr="00E47BF2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которых в 2016 - 2018 годах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предоставляются субсидии из областного бюджета, целевые показатели результативности предоставления субсидий и их значения, утвержденные постановлением Правительства Саратовской области от 16 марта 2016 года N 112-П, в части уточнения показателей результативности предоставления субсидий</w:t>
            </w:r>
            <w:proofErr w:type="gramEnd"/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III - 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2.4.9.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 xml:space="preserve">Внести изменения в </w:t>
            </w:r>
            <w:hyperlink r:id="rId107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31 октября 2008 года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409-П "О порядке представления администрациями муниципальных образований области 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финансовый год и плановый период)"</w:t>
            </w:r>
            <w:proofErr w:type="gramEnd"/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2.4.10.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Рассмотреть вопрос об использовании механизма замещения дотаций на выравнивание бюджетной обеспеченности муниципальных образований дополнительными нормативами отчислений от налога на доходы физических лиц, а также об установлении единых нормативов отчислений от других видов налогов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2.5.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Оптимизация инвестиционных расходов, субсидий юридическим лицам и дебиторской задолженности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2.5.1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Анализ причин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возникновения и принятие плана сокращения дебиторской задолженности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финансов области, исполнительные органы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26767,3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108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2.5.2.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Корректировка действующего механизма планирования и мониторинга эффективности инвестиционных расходов (в том числе на муниципальном уровне)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2.5.3.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Сокращение объемов незавершенного строительства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строительства и жилищно-коммунального хозяйства области, комитет по реализации инвестиционн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ых проектов в строительстве области, 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2016 - 2024 годы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85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2.5.4.</w:t>
            </w:r>
          </w:p>
        </w:tc>
        <w:tc>
          <w:tcPr>
            <w:tcW w:w="334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Оптимизация отдельных видов субсидий юридическим лицам. Совершенствование порядка выделения субсидий юридическим лицам, с установлением в качестве обязательного условия для получения субсидии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отсутствие задолженности по налогам в бюджеты всех уровней</w:t>
            </w:r>
          </w:p>
        </w:tc>
        <w:tc>
          <w:tcPr>
            <w:tcW w:w="2267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области, исполнительные органы области</w:t>
            </w:r>
          </w:p>
        </w:tc>
        <w:tc>
          <w:tcPr>
            <w:tcW w:w="1020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2016 - 2017 годы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109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24.03.2023 N 252-П)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2.5.5.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Проработать вопрос об оптимизации расходов на возмещение части процентной ставки по краткосрочным кредитам (займам) на развитие сельского хозяйства, переработку и реализацию сельскохозяйственной продукции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сельского хозяйства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2.5.6.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Проработать вопрос об оптимизации расходов на компенсацию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части потерь в доходах организациям железнодорожного и автомобильного транспорта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транспорта и дорожного хозяйства области,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2.6.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Планирование регионального бюджета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2.6.1.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Увеличение объема расходов, осуществляемых в рамках государственных программ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2017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2.6.2.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Дополнить государственную </w:t>
            </w:r>
            <w:hyperlink r:id="rId110">
              <w:r w:rsidRPr="00E47BF2">
                <w:rPr>
                  <w:rFonts w:ascii="PT Astra Serif" w:hAnsi="PT Astra Serif"/>
                  <w:sz w:val="28"/>
                  <w:szCs w:val="28"/>
                </w:rPr>
                <w:t>программу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Саратовской области "Развитие государственного и муниципального управления до 2020 года" подпрограммой "Управление государственными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финансами Саратовской области"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2.6.3.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Разработать и утвердить бюджетный прогноз Саратовской области на долгосрочный период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области, министерство экономического развития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2.6.4.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Продолжить совершенствование методологии разработки и реализации государственных программ Саратовской области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экономического развития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2.7.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Реализация мероприятий по переселению граждан из аварийного жилищного фонда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Усиление </w:t>
            </w:r>
            <w:proofErr w:type="gramStart"/>
            <w:r w:rsidRPr="00E47BF2">
              <w:rPr>
                <w:rFonts w:ascii="PT Astra Serif" w:hAnsi="PT Astra Serif"/>
                <w:sz w:val="28"/>
                <w:szCs w:val="28"/>
              </w:rPr>
              <w:t>контроля за</w:t>
            </w:r>
            <w:proofErr w:type="gramEnd"/>
            <w:r w:rsidRPr="00E47BF2">
              <w:rPr>
                <w:rFonts w:ascii="PT Astra Serif" w:hAnsi="PT Astra Serif"/>
                <w:sz w:val="28"/>
                <w:szCs w:val="28"/>
              </w:rPr>
              <w:t xml:space="preserve"> реализацией мероприятий региональной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адресной программы по переселению граждан из аварийного жилищного фонда и целевым использованием бюджетных средств, организация плановой работы органов местного самоуправления по проведению торгов в рамках реализации программы по переселению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строительства и жилищно-коммунальног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 хозяйства области, 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7481" w:type="dxa"/>
            <w:gridSpan w:val="4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Объем оптимизации расходов, всего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1292508,8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381992,1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381992,1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381992,1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381992,1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363565,5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343898,1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363565,5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363565,5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1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16837" w:type="dxa"/>
            <w:gridSpan w:val="12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Меры по сокращению государственного и муниципального долга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Проработать вопрос выпуска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облигационного займа Саратовской области на 5 лет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министерство финансов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IV кв. 2016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Мониторинг процентных ставок по кредитам кредитных организаций в целях оптимизации расходов на обслуживание государственного долга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ежеквартально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3.3.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Мониторинг муниципального долга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ежемесячно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3.4.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Обеспечение возможности привлечения кредитов от кредитных организаций исключительно по ставкам на уровне не более чем уровень ключевой </w:t>
            </w: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ставки, установленный Центральным банком Российской Федерации, увеличенный на 1 процент годовых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финансов области, финансовые отделы муниципальных образований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в течение финансового года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85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lastRenderedPageBreak/>
              <w:t>3.5.</w:t>
            </w:r>
          </w:p>
        </w:tc>
        <w:tc>
          <w:tcPr>
            <w:tcW w:w="334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Ужесточение условий предоставления бюджетных кредитов и реструктуризации задолженности по бюджетным кредитам муниципальных образований</w:t>
            </w:r>
          </w:p>
        </w:tc>
        <w:tc>
          <w:tcPr>
            <w:tcW w:w="2267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министерство финансов области</w:t>
            </w:r>
          </w:p>
        </w:tc>
        <w:tc>
          <w:tcPr>
            <w:tcW w:w="1020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2016 год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7BF2" w:rsidRPr="00E47BF2">
        <w:tc>
          <w:tcPr>
            <w:tcW w:w="7481" w:type="dxa"/>
            <w:gridSpan w:val="4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Объем оптимизации расходов по обслуживанию государственного и муниципального долга, всего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7BF2" w:rsidRPr="00E47BF2" w:rsidRDefault="00E47BF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7481" w:type="dxa"/>
            <w:gridSpan w:val="4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Итого по плану мероприятий: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3561336,8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3434463,2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3509178,2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3500154,7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3500154,7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1326535,5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1355889,1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1814939,8</w:t>
            </w:r>
          </w:p>
        </w:tc>
        <w:tc>
          <w:tcPr>
            <w:tcW w:w="1134" w:type="dxa"/>
            <w:tcBorders>
              <w:bottom w:val="nil"/>
            </w:tcBorders>
          </w:tcPr>
          <w:p w:rsidR="00E47BF2" w:rsidRPr="00E47BF2" w:rsidRDefault="00E47BF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>1848414,4</w:t>
            </w:r>
          </w:p>
        </w:tc>
      </w:tr>
      <w:tr w:rsidR="00E47BF2" w:rsidRPr="00E47BF2">
        <w:tblPrEx>
          <w:tblBorders>
            <w:insideH w:val="nil"/>
          </w:tblBorders>
        </w:tblPrEx>
        <w:tc>
          <w:tcPr>
            <w:tcW w:w="17687" w:type="dxa"/>
            <w:gridSpan w:val="13"/>
            <w:tcBorders>
              <w:top w:val="nil"/>
            </w:tcBorders>
          </w:tcPr>
          <w:p w:rsidR="00E47BF2" w:rsidRPr="00E47BF2" w:rsidRDefault="00E47BF2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47BF2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12">
              <w:r w:rsidRPr="00E47BF2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E47BF2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16.05.2022 N 363-П)</w:t>
            </w:r>
          </w:p>
        </w:tc>
      </w:tr>
    </w:tbl>
    <w:p w:rsidR="00E47BF2" w:rsidRPr="00E47BF2" w:rsidRDefault="00E47BF2">
      <w:pPr>
        <w:pStyle w:val="ConsPlusNormal"/>
        <w:rPr>
          <w:rFonts w:ascii="PT Astra Serif" w:hAnsi="PT Astra Serif"/>
          <w:sz w:val="28"/>
          <w:szCs w:val="28"/>
        </w:rPr>
        <w:sectPr w:rsidR="00E47BF2" w:rsidRPr="00E47BF2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Приложение N 3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к постановлению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от 29 марта 2011 г. N 165-П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ПЛАН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МЕРОПРИЯТИЙ ПО СОКРАЩЕНИЮ </w:t>
      </w:r>
      <w:proofErr w:type="gramStart"/>
      <w:r w:rsidRPr="00E47BF2">
        <w:rPr>
          <w:rFonts w:ascii="PT Astra Serif" w:hAnsi="PT Astra Serif"/>
          <w:sz w:val="28"/>
          <w:szCs w:val="28"/>
        </w:rPr>
        <w:t>ПРОСРОЧЕННОЙ</w:t>
      </w:r>
      <w:proofErr w:type="gramEnd"/>
      <w:r w:rsidRPr="00E47BF2">
        <w:rPr>
          <w:rFonts w:ascii="PT Astra Serif" w:hAnsi="PT Astra Serif"/>
          <w:sz w:val="28"/>
          <w:szCs w:val="28"/>
        </w:rPr>
        <w:t xml:space="preserve"> КРЕДИТОРСКОЙ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ЗАДОЛЖЕННОСТИ КОНСОЛИДИРОВАННОГО БЮДЖЕТА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САРАТОВСКОЙ ОБЛАСТИ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Утратил силу с 16 мая 2022 года. - </w:t>
      </w:r>
      <w:hyperlink r:id="rId113">
        <w:r w:rsidRPr="00E47BF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16.05.2022 N 363-П.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Приложение N 4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к постановлению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от 29 марта 2011 г. N 165-П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СОСТАВ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МЕЖВЕДОМСТВЕННОЙ КОМИССИИ ПО МОНИТОРИНГУ УПРАВЛЕНИЯ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ГОСУДАРСТВЕННЫМ ДОЛГОМ ОБЛАСТИ И СОКРАЩЕНИЮ ПРОСРОЧЕННОЙ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КРЕДИТОРСКОЙ ЗАДОЛЖЕННОСТИ </w:t>
      </w:r>
      <w:proofErr w:type="gramStart"/>
      <w:r w:rsidRPr="00E47BF2">
        <w:rPr>
          <w:rFonts w:ascii="PT Astra Serif" w:hAnsi="PT Astra Serif"/>
          <w:sz w:val="28"/>
          <w:szCs w:val="28"/>
        </w:rPr>
        <w:t>КОНСОЛИДИРОВАННОГО</w:t>
      </w:r>
      <w:proofErr w:type="gramEnd"/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БЮДЖЕТА ОБЛАСТИ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Утратил силу с 16 мая 2022 года. - </w:t>
      </w:r>
      <w:hyperlink r:id="rId114">
        <w:r w:rsidRPr="00E47BF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16.05.2022 N 363-П.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Приложение N 5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к постановлению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lastRenderedPageBreak/>
        <w:t>Правительства Саратовской области</w:t>
      </w:r>
    </w:p>
    <w:p w:rsidR="00E47BF2" w:rsidRPr="00E47BF2" w:rsidRDefault="00E47BF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от 29 марта 2011 г. N 165-П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ПОЛОЖЕНИЕ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О МЕЖВЕДОМСТВЕННОЙ КОМИССИИ ПО МОНИТОРИНГУ УПРАВЛЕНИЯ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ГОСУДАРСТВЕННЫМ ДОЛГОМ ОБЛАСТИ И СОКРАЩЕНИЮ ПРОСРОЧЕННОЙ</w:t>
      </w:r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КРЕДИТОРСКОЙ ЗАДОЛЖЕННОСТИ </w:t>
      </w:r>
      <w:proofErr w:type="gramStart"/>
      <w:r w:rsidRPr="00E47BF2">
        <w:rPr>
          <w:rFonts w:ascii="PT Astra Serif" w:hAnsi="PT Astra Serif"/>
          <w:sz w:val="28"/>
          <w:szCs w:val="28"/>
        </w:rPr>
        <w:t>КОНСОЛИДИРОВАННОГО</w:t>
      </w:r>
      <w:proofErr w:type="gramEnd"/>
    </w:p>
    <w:p w:rsidR="00E47BF2" w:rsidRPr="00E47BF2" w:rsidRDefault="00E47BF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>БЮДЖЕТА ОБЛАСТИ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E47BF2">
        <w:rPr>
          <w:rFonts w:ascii="PT Astra Serif" w:hAnsi="PT Astra Serif"/>
          <w:sz w:val="28"/>
          <w:szCs w:val="28"/>
        </w:rPr>
        <w:t xml:space="preserve">Утратил силу с 16 мая 2022 года. - </w:t>
      </w:r>
      <w:hyperlink r:id="rId115">
        <w:r w:rsidRPr="00E47BF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E47BF2">
        <w:rPr>
          <w:rFonts w:ascii="PT Astra Serif" w:hAnsi="PT Astra Serif"/>
          <w:sz w:val="28"/>
          <w:szCs w:val="28"/>
        </w:rPr>
        <w:t xml:space="preserve"> Правительства Саратовской области от 16.05.2022 N 363-П.</w:t>
      </w: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47BF2" w:rsidRPr="00E47BF2" w:rsidRDefault="00E47BF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E47BF2" w:rsidRDefault="00E47BF2">
      <w:pPr>
        <w:rPr>
          <w:rFonts w:ascii="PT Astra Serif" w:hAnsi="PT Astra Serif"/>
          <w:sz w:val="28"/>
          <w:szCs w:val="28"/>
        </w:rPr>
      </w:pPr>
    </w:p>
    <w:sectPr w:rsidR="005A1A7E" w:rsidRPr="00E47BF2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BF2"/>
    <w:rsid w:val="000C2229"/>
    <w:rsid w:val="00172250"/>
    <w:rsid w:val="00887F15"/>
    <w:rsid w:val="00A70053"/>
    <w:rsid w:val="00C742B7"/>
    <w:rsid w:val="00E4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E47B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47BF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47B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47BF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47B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47B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47B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47BF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E47B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47BF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47B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47BF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47B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47B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47B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47BF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81220&amp;dst=100011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login.consultant.ru/link/?req=doc&amp;base=RLAW358&amp;n=117895&amp;dst=100005" TargetMode="External"/><Relationship Id="rId42" Type="http://schemas.openxmlformats.org/officeDocument/2006/relationships/hyperlink" Target="https://login.consultant.ru/link/?req=doc&amp;base=RLAW358&amp;n=108806&amp;dst=100009" TargetMode="External"/><Relationship Id="rId47" Type="http://schemas.openxmlformats.org/officeDocument/2006/relationships/hyperlink" Target="https://login.consultant.ru/link/?req=doc&amp;base=RLAW358&amp;n=108806&amp;dst=100012" TargetMode="External"/><Relationship Id="rId63" Type="http://schemas.openxmlformats.org/officeDocument/2006/relationships/hyperlink" Target="https://login.consultant.ru/link/?req=doc&amp;base=RLAW358&amp;n=117895&amp;dst=100012" TargetMode="External"/><Relationship Id="rId68" Type="http://schemas.openxmlformats.org/officeDocument/2006/relationships/hyperlink" Target="https://login.consultant.ru/link/?req=doc&amp;base=RLAW358&amp;n=150592&amp;dst=100025" TargetMode="External"/><Relationship Id="rId84" Type="http://schemas.openxmlformats.org/officeDocument/2006/relationships/hyperlink" Target="https://login.consultant.ru/link/?req=doc&amp;base=RLAW358&amp;n=150592&amp;dst=100062" TargetMode="External"/><Relationship Id="rId89" Type="http://schemas.openxmlformats.org/officeDocument/2006/relationships/hyperlink" Target="https://login.consultant.ru/link/?req=doc&amp;base=RLAW358&amp;n=150592&amp;dst=100128" TargetMode="External"/><Relationship Id="rId112" Type="http://schemas.openxmlformats.org/officeDocument/2006/relationships/hyperlink" Target="https://login.consultant.ru/link/?req=doc&amp;base=RLAW358&amp;n=150592&amp;dst=100173" TargetMode="External"/><Relationship Id="rId16" Type="http://schemas.openxmlformats.org/officeDocument/2006/relationships/hyperlink" Target="https://login.consultant.ru/link/?req=doc&amp;base=RLAW358&amp;n=74847&amp;dst=100005" TargetMode="External"/><Relationship Id="rId107" Type="http://schemas.openxmlformats.org/officeDocument/2006/relationships/hyperlink" Target="https://login.consultant.ru/link/?req=doc&amp;base=RLAW358&amp;n=173779" TargetMode="External"/><Relationship Id="rId11" Type="http://schemas.openxmlformats.org/officeDocument/2006/relationships/hyperlink" Target="https://login.consultant.ru/link/?req=doc&amp;base=RLAW358&amp;n=65790&amp;dst=100005" TargetMode="External"/><Relationship Id="rId24" Type="http://schemas.openxmlformats.org/officeDocument/2006/relationships/hyperlink" Target="https://login.consultant.ru/link/?req=doc&amp;base=RLAW358&amp;n=150592&amp;dst=100005" TargetMode="External"/><Relationship Id="rId32" Type="http://schemas.openxmlformats.org/officeDocument/2006/relationships/hyperlink" Target="https://login.consultant.ru/link/?req=doc&amp;base=RLAW358&amp;n=95477&amp;dst=100006" TargetMode="External"/><Relationship Id="rId37" Type="http://schemas.openxmlformats.org/officeDocument/2006/relationships/hyperlink" Target="https://login.consultant.ru/link/?req=doc&amp;base=RLAW358&amp;n=150592&amp;dst=100018" TargetMode="External"/><Relationship Id="rId40" Type="http://schemas.openxmlformats.org/officeDocument/2006/relationships/hyperlink" Target="https://login.consultant.ru/link/?req=doc&amp;base=RLAW358&amp;n=126094&amp;dst=100007" TargetMode="External"/><Relationship Id="rId45" Type="http://schemas.openxmlformats.org/officeDocument/2006/relationships/hyperlink" Target="https://login.consultant.ru/link/?req=doc&amp;base=RLAW358&amp;n=181220&amp;dst=100012" TargetMode="External"/><Relationship Id="rId53" Type="http://schemas.openxmlformats.org/officeDocument/2006/relationships/hyperlink" Target="https://login.consultant.ru/link/?req=doc&amp;base=RLAW358&amp;n=117895&amp;dst=100011" TargetMode="External"/><Relationship Id="rId58" Type="http://schemas.openxmlformats.org/officeDocument/2006/relationships/hyperlink" Target="https://login.consultant.ru/link/?req=doc&amp;base=RLAW358&amp;n=161576&amp;dst=100008" TargetMode="External"/><Relationship Id="rId66" Type="http://schemas.openxmlformats.org/officeDocument/2006/relationships/hyperlink" Target="https://login.consultant.ru/link/?req=doc&amp;base=LAW&amp;n=480520" TargetMode="External"/><Relationship Id="rId74" Type="http://schemas.openxmlformats.org/officeDocument/2006/relationships/hyperlink" Target="https://login.consultant.ru/link/?req=doc&amp;base=LAW&amp;n=495920&amp;dst=101444" TargetMode="External"/><Relationship Id="rId79" Type="http://schemas.openxmlformats.org/officeDocument/2006/relationships/hyperlink" Target="https://login.consultant.ru/link/?req=doc&amp;base=RLAW358&amp;n=150592&amp;dst=100045" TargetMode="External"/><Relationship Id="rId87" Type="http://schemas.openxmlformats.org/officeDocument/2006/relationships/hyperlink" Target="https://login.consultant.ru/link/?req=doc&amp;base=RLAW358&amp;n=150592&amp;dst=100102" TargetMode="External"/><Relationship Id="rId102" Type="http://schemas.openxmlformats.org/officeDocument/2006/relationships/hyperlink" Target="https://login.consultant.ru/link/?req=doc&amp;base=RLAW358&amp;n=150592&amp;dst=100146" TargetMode="External"/><Relationship Id="rId110" Type="http://schemas.openxmlformats.org/officeDocument/2006/relationships/hyperlink" Target="https://login.consultant.ru/link/?req=doc&amp;base=RLAW358&amp;n=182133&amp;dst=109242" TargetMode="External"/><Relationship Id="rId115" Type="http://schemas.openxmlformats.org/officeDocument/2006/relationships/hyperlink" Target="https://login.consultant.ru/link/?req=doc&amp;base=RLAW358&amp;n=150592&amp;dst=100199" TargetMode="External"/><Relationship Id="rId5" Type="http://schemas.openxmlformats.org/officeDocument/2006/relationships/hyperlink" Target="https://login.consultant.ru/link/?req=doc&amp;base=RLAW358&amp;n=49201&amp;dst=100005" TargetMode="External"/><Relationship Id="rId61" Type="http://schemas.openxmlformats.org/officeDocument/2006/relationships/hyperlink" Target="https://login.consultant.ru/link/?req=doc&amp;base=RLAW358&amp;n=117895&amp;dst=100012" TargetMode="External"/><Relationship Id="rId82" Type="http://schemas.openxmlformats.org/officeDocument/2006/relationships/hyperlink" Target="https://login.consultant.ru/link/?req=doc&amp;base=RLAW358&amp;n=150592&amp;dst=100046" TargetMode="External"/><Relationship Id="rId90" Type="http://schemas.openxmlformats.org/officeDocument/2006/relationships/hyperlink" Target="https://login.consultant.ru/link/?req=doc&amp;base=RLAW358&amp;n=150592&amp;dst=100129" TargetMode="External"/><Relationship Id="rId95" Type="http://schemas.openxmlformats.org/officeDocument/2006/relationships/hyperlink" Target="https://login.consultant.ru/link/?req=doc&amp;base=RLAW358&amp;n=161576&amp;dst=100008" TargetMode="External"/><Relationship Id="rId19" Type="http://schemas.openxmlformats.org/officeDocument/2006/relationships/hyperlink" Target="https://login.consultant.ru/link/?req=doc&amp;base=RLAW358&amp;n=150466&amp;dst=100031" TargetMode="External"/><Relationship Id="rId14" Type="http://schemas.openxmlformats.org/officeDocument/2006/relationships/hyperlink" Target="https://login.consultant.ru/link/?req=doc&amp;base=RLAW358&amp;n=73236&amp;dst=100005" TargetMode="External"/><Relationship Id="rId22" Type="http://schemas.openxmlformats.org/officeDocument/2006/relationships/hyperlink" Target="https://login.consultant.ru/link/?req=doc&amp;base=RLAW358&amp;n=176096&amp;dst=100016" TargetMode="External"/><Relationship Id="rId27" Type="http://schemas.openxmlformats.org/officeDocument/2006/relationships/hyperlink" Target="https://login.consultant.ru/link/?req=doc&amp;base=LAW&amp;n=486741" TargetMode="External"/><Relationship Id="rId30" Type="http://schemas.openxmlformats.org/officeDocument/2006/relationships/hyperlink" Target="https://login.consultant.ru/link/?req=doc&amp;base=LAW&amp;n=468573" TargetMode="External"/><Relationship Id="rId35" Type="http://schemas.openxmlformats.org/officeDocument/2006/relationships/hyperlink" Target="https://login.consultant.ru/link/?req=doc&amp;base=RLAW358&amp;n=150592&amp;dst=100009" TargetMode="External"/><Relationship Id="rId43" Type="http://schemas.openxmlformats.org/officeDocument/2006/relationships/hyperlink" Target="https://login.consultant.ru/link/?req=doc&amp;base=RLAW358&amp;n=180775" TargetMode="External"/><Relationship Id="rId48" Type="http://schemas.openxmlformats.org/officeDocument/2006/relationships/hyperlink" Target="https://login.consultant.ru/link/?req=doc&amp;base=RLAW358&amp;n=117895&amp;dst=100010" TargetMode="External"/><Relationship Id="rId56" Type="http://schemas.openxmlformats.org/officeDocument/2006/relationships/hyperlink" Target="https://login.consultant.ru/link/?req=doc&amp;base=RLAW358&amp;n=145288" TargetMode="External"/><Relationship Id="rId64" Type="http://schemas.openxmlformats.org/officeDocument/2006/relationships/hyperlink" Target="https://login.consultant.ru/link/?req=doc&amp;base=RLAW358&amp;n=161576&amp;dst=100008" TargetMode="External"/><Relationship Id="rId69" Type="http://schemas.openxmlformats.org/officeDocument/2006/relationships/hyperlink" Target="https://login.consultant.ru/link/?req=doc&amp;base=RLAW358&amp;n=126094&amp;dst=100008" TargetMode="External"/><Relationship Id="rId77" Type="http://schemas.openxmlformats.org/officeDocument/2006/relationships/hyperlink" Target="https://login.consultant.ru/link/?req=doc&amp;base=RLAW358&amp;n=168906" TargetMode="External"/><Relationship Id="rId100" Type="http://schemas.openxmlformats.org/officeDocument/2006/relationships/hyperlink" Target="https://login.consultant.ru/link/?req=doc&amp;base=RLAW358&amp;n=150592&amp;dst=100145" TargetMode="External"/><Relationship Id="rId105" Type="http://schemas.openxmlformats.org/officeDocument/2006/relationships/hyperlink" Target="https://login.consultant.ru/link/?req=doc&amp;base=LAW&amp;n=466790&amp;dst=5765" TargetMode="External"/><Relationship Id="rId113" Type="http://schemas.openxmlformats.org/officeDocument/2006/relationships/hyperlink" Target="https://login.consultant.ru/link/?req=doc&amp;base=RLAW358&amp;n=150592&amp;dst=100199" TargetMode="External"/><Relationship Id="rId8" Type="http://schemas.openxmlformats.org/officeDocument/2006/relationships/hyperlink" Target="https://login.consultant.ru/link/?req=doc&amp;base=RLAW358&amp;n=58382&amp;dst=100005" TargetMode="External"/><Relationship Id="rId51" Type="http://schemas.openxmlformats.org/officeDocument/2006/relationships/hyperlink" Target="https://login.consultant.ru/link/?req=doc&amp;base=RLAW358&amp;n=117895&amp;dst=100011" TargetMode="External"/><Relationship Id="rId72" Type="http://schemas.openxmlformats.org/officeDocument/2006/relationships/hyperlink" Target="https://login.consultant.ru/link/?req=doc&amp;base=LAW&amp;n=494616" TargetMode="External"/><Relationship Id="rId80" Type="http://schemas.openxmlformats.org/officeDocument/2006/relationships/hyperlink" Target="https://login.consultant.ru/link/?req=doc&amp;base=LAW&amp;n=466790&amp;dst=4064" TargetMode="External"/><Relationship Id="rId85" Type="http://schemas.openxmlformats.org/officeDocument/2006/relationships/hyperlink" Target="https://login.consultant.ru/link/?req=doc&amp;base=RLAW358&amp;n=150592&amp;dst=100075" TargetMode="External"/><Relationship Id="rId93" Type="http://schemas.openxmlformats.org/officeDocument/2006/relationships/hyperlink" Target="https://login.consultant.ru/link/?req=doc&amp;base=RLAW358&amp;n=161576&amp;dst=100008" TargetMode="External"/><Relationship Id="rId98" Type="http://schemas.openxmlformats.org/officeDocument/2006/relationships/hyperlink" Target="https://login.consultant.ru/link/?req=doc&amp;base=RLAW358&amp;n=150592&amp;dst=10014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66751&amp;dst=100005" TargetMode="External"/><Relationship Id="rId17" Type="http://schemas.openxmlformats.org/officeDocument/2006/relationships/hyperlink" Target="https://login.consultant.ru/link/?req=doc&amp;base=RLAW358&amp;n=87943&amp;dst=100005" TargetMode="External"/><Relationship Id="rId25" Type="http://schemas.openxmlformats.org/officeDocument/2006/relationships/hyperlink" Target="https://login.consultant.ru/link/?req=doc&amp;base=RLAW358&amp;n=161576&amp;dst=100005" TargetMode="External"/><Relationship Id="rId33" Type="http://schemas.openxmlformats.org/officeDocument/2006/relationships/hyperlink" Target="https://login.consultant.ru/link/?req=doc&amp;base=RLAW358&amp;n=126094&amp;dst=100006" TargetMode="External"/><Relationship Id="rId38" Type="http://schemas.openxmlformats.org/officeDocument/2006/relationships/hyperlink" Target="https://login.consultant.ru/link/?req=doc&amp;base=RLAW358&amp;n=87943&amp;dst=100010" TargetMode="External"/><Relationship Id="rId46" Type="http://schemas.openxmlformats.org/officeDocument/2006/relationships/hyperlink" Target="https://login.consultant.ru/link/?req=doc&amp;base=RLAW358&amp;n=87943&amp;dst=100019" TargetMode="External"/><Relationship Id="rId59" Type="http://schemas.openxmlformats.org/officeDocument/2006/relationships/hyperlink" Target="https://login.consultant.ru/link/?req=doc&amp;base=RLAW358&amp;n=117895&amp;dst=100012" TargetMode="External"/><Relationship Id="rId67" Type="http://schemas.openxmlformats.org/officeDocument/2006/relationships/hyperlink" Target="https://login.consultant.ru/link/?req=doc&amp;base=RLAW358&amp;n=161576&amp;dst=100008" TargetMode="External"/><Relationship Id="rId103" Type="http://schemas.openxmlformats.org/officeDocument/2006/relationships/hyperlink" Target="https://login.consultant.ru/link/?req=doc&amp;base=RLAW358&amp;n=150592&amp;dst=100146" TargetMode="External"/><Relationship Id="rId108" Type="http://schemas.openxmlformats.org/officeDocument/2006/relationships/hyperlink" Target="https://login.consultant.ru/link/?req=doc&amp;base=RLAW358&amp;n=161576&amp;dst=100008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358&amp;n=108806&amp;dst=100005" TargetMode="External"/><Relationship Id="rId41" Type="http://schemas.openxmlformats.org/officeDocument/2006/relationships/hyperlink" Target="https://login.consultant.ru/link/?req=doc&amp;base=RLAW358&amp;n=56422&amp;dst=100006" TargetMode="External"/><Relationship Id="rId54" Type="http://schemas.openxmlformats.org/officeDocument/2006/relationships/hyperlink" Target="https://login.consultant.ru/link/?req=doc&amp;base=LAW&amp;n=493974&amp;dst=18892" TargetMode="External"/><Relationship Id="rId62" Type="http://schemas.openxmlformats.org/officeDocument/2006/relationships/hyperlink" Target="https://login.consultant.ru/link/?req=doc&amp;base=RLAW358&amp;n=117895&amp;dst=100013" TargetMode="External"/><Relationship Id="rId70" Type="http://schemas.openxmlformats.org/officeDocument/2006/relationships/hyperlink" Target="https://login.consultant.ru/link/?req=doc&amp;base=RLAW358&amp;n=150592&amp;dst=100044" TargetMode="External"/><Relationship Id="rId75" Type="http://schemas.openxmlformats.org/officeDocument/2006/relationships/hyperlink" Target="https://login.consultant.ru/link/?req=doc&amp;base=LAW&amp;n=495920&amp;dst=103662" TargetMode="External"/><Relationship Id="rId83" Type="http://schemas.openxmlformats.org/officeDocument/2006/relationships/hyperlink" Target="https://login.consultant.ru/link/?req=doc&amp;base=RLAW358&amp;n=150592&amp;dst=100047" TargetMode="External"/><Relationship Id="rId88" Type="http://schemas.openxmlformats.org/officeDocument/2006/relationships/hyperlink" Target="https://login.consultant.ru/link/?req=doc&amp;base=RLAW358&amp;n=150592&amp;dst=100128" TargetMode="External"/><Relationship Id="rId91" Type="http://schemas.openxmlformats.org/officeDocument/2006/relationships/hyperlink" Target="https://login.consultant.ru/link/?req=doc&amp;base=RLAW358&amp;n=161576&amp;dst=100008" TargetMode="External"/><Relationship Id="rId96" Type="http://schemas.openxmlformats.org/officeDocument/2006/relationships/hyperlink" Target="https://login.consultant.ru/link/?req=doc&amp;base=RLAW358&amp;n=161576&amp;dst=100008" TargetMode="External"/><Relationship Id="rId111" Type="http://schemas.openxmlformats.org/officeDocument/2006/relationships/hyperlink" Target="https://login.consultant.ru/link/?req=doc&amp;base=RLAW358&amp;n=150592&amp;dst=10014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56422&amp;dst=100005" TargetMode="External"/><Relationship Id="rId15" Type="http://schemas.openxmlformats.org/officeDocument/2006/relationships/hyperlink" Target="https://login.consultant.ru/link/?req=doc&amp;base=RLAW358&amp;n=74171&amp;dst=100005" TargetMode="External"/><Relationship Id="rId23" Type="http://schemas.openxmlformats.org/officeDocument/2006/relationships/hyperlink" Target="https://login.consultant.ru/link/?req=doc&amp;base=RLAW358&amp;n=126094&amp;dst=100005" TargetMode="External"/><Relationship Id="rId28" Type="http://schemas.openxmlformats.org/officeDocument/2006/relationships/hyperlink" Target="https://login.consultant.ru/link/?req=doc&amp;base=LAW&amp;n=486742" TargetMode="External"/><Relationship Id="rId36" Type="http://schemas.openxmlformats.org/officeDocument/2006/relationships/hyperlink" Target="https://login.consultant.ru/link/?req=doc&amp;base=RLAW358&amp;n=150592&amp;dst=100014" TargetMode="External"/><Relationship Id="rId49" Type="http://schemas.openxmlformats.org/officeDocument/2006/relationships/hyperlink" Target="https://login.consultant.ru/link/?req=doc&amp;base=RLAW358&amp;n=150592&amp;dst=100021" TargetMode="External"/><Relationship Id="rId57" Type="http://schemas.openxmlformats.org/officeDocument/2006/relationships/hyperlink" Target="https://login.consultant.ru/link/?req=doc&amp;base=RLAW358&amp;n=150592&amp;dst=100023" TargetMode="External"/><Relationship Id="rId106" Type="http://schemas.openxmlformats.org/officeDocument/2006/relationships/hyperlink" Target="https://login.consultant.ru/link/?req=doc&amp;base=RLAW358&amp;n=98098&amp;dst=100021" TargetMode="External"/><Relationship Id="rId114" Type="http://schemas.openxmlformats.org/officeDocument/2006/relationships/hyperlink" Target="https://login.consultant.ru/link/?req=doc&amp;base=RLAW358&amp;n=150592&amp;dst=100199" TargetMode="External"/><Relationship Id="rId10" Type="http://schemas.openxmlformats.org/officeDocument/2006/relationships/hyperlink" Target="https://login.consultant.ru/link/?req=doc&amp;base=RLAW358&amp;n=88397&amp;dst=100005" TargetMode="External"/><Relationship Id="rId31" Type="http://schemas.openxmlformats.org/officeDocument/2006/relationships/hyperlink" Target="https://login.consultant.ru/link/?req=doc&amp;base=RLAW358&amp;n=150592&amp;dst=100006" TargetMode="External"/><Relationship Id="rId44" Type="http://schemas.openxmlformats.org/officeDocument/2006/relationships/hyperlink" Target="https://login.consultant.ru/link/?req=doc&amp;base=RLAW358&amp;n=161576&amp;dst=100006" TargetMode="External"/><Relationship Id="rId52" Type="http://schemas.openxmlformats.org/officeDocument/2006/relationships/hyperlink" Target="https://login.consultant.ru/link/?req=doc&amp;base=RLAW358&amp;n=117895&amp;dst=100011" TargetMode="External"/><Relationship Id="rId60" Type="http://schemas.openxmlformats.org/officeDocument/2006/relationships/hyperlink" Target="https://login.consultant.ru/link/?req=doc&amp;base=RLAW358&amp;n=161576&amp;dst=100008" TargetMode="External"/><Relationship Id="rId65" Type="http://schemas.openxmlformats.org/officeDocument/2006/relationships/hyperlink" Target="https://login.consultant.ru/link/?req=doc&amp;base=RLAW358&amp;n=117895&amp;dst=100013" TargetMode="External"/><Relationship Id="rId73" Type="http://schemas.openxmlformats.org/officeDocument/2006/relationships/hyperlink" Target="https://login.consultant.ru/link/?req=doc&amp;base=LAW&amp;n=495920&amp;dst=101473" TargetMode="External"/><Relationship Id="rId78" Type="http://schemas.openxmlformats.org/officeDocument/2006/relationships/hyperlink" Target="https://login.consultant.ru/link/?req=doc&amp;base=RLAW358&amp;n=161576&amp;dst=100011" TargetMode="External"/><Relationship Id="rId81" Type="http://schemas.openxmlformats.org/officeDocument/2006/relationships/hyperlink" Target="https://login.consultant.ru/link/?req=doc&amp;base=RLAW358&amp;n=178730" TargetMode="External"/><Relationship Id="rId86" Type="http://schemas.openxmlformats.org/officeDocument/2006/relationships/hyperlink" Target="https://login.consultant.ru/link/?req=doc&amp;base=RLAW358&amp;n=150592&amp;dst=100088" TargetMode="External"/><Relationship Id="rId94" Type="http://schemas.openxmlformats.org/officeDocument/2006/relationships/hyperlink" Target="https://login.consultant.ru/link/?req=doc&amp;base=RLAW358&amp;n=161576&amp;dst=100008" TargetMode="External"/><Relationship Id="rId99" Type="http://schemas.openxmlformats.org/officeDocument/2006/relationships/hyperlink" Target="https://login.consultant.ru/link/?req=doc&amp;base=RLAW358&amp;n=150592&amp;dst=100146" TargetMode="External"/><Relationship Id="rId101" Type="http://schemas.openxmlformats.org/officeDocument/2006/relationships/hyperlink" Target="https://login.consultant.ru/link/?req=doc&amp;base=RLAW358&amp;n=150592&amp;dst=1001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59630&amp;dst=100005" TargetMode="External"/><Relationship Id="rId13" Type="http://schemas.openxmlformats.org/officeDocument/2006/relationships/hyperlink" Target="https://login.consultant.ru/link/?req=doc&amp;base=RLAW358&amp;n=70253&amp;dst=100005" TargetMode="External"/><Relationship Id="rId18" Type="http://schemas.openxmlformats.org/officeDocument/2006/relationships/hyperlink" Target="https://login.consultant.ru/link/?req=doc&amp;base=RLAW358&amp;n=95477&amp;dst=100005" TargetMode="External"/><Relationship Id="rId39" Type="http://schemas.openxmlformats.org/officeDocument/2006/relationships/hyperlink" Target="https://login.consultant.ru/link/?req=doc&amp;base=RLAW358&amp;n=108806&amp;dst=100008" TargetMode="External"/><Relationship Id="rId109" Type="http://schemas.openxmlformats.org/officeDocument/2006/relationships/hyperlink" Target="https://login.consultant.ru/link/?req=doc&amp;base=RLAW358&amp;n=161576&amp;dst=100013" TargetMode="External"/><Relationship Id="rId34" Type="http://schemas.openxmlformats.org/officeDocument/2006/relationships/hyperlink" Target="https://login.consultant.ru/link/?req=doc&amp;base=RLAW358&amp;n=150592&amp;dst=100008" TargetMode="External"/><Relationship Id="rId50" Type="http://schemas.openxmlformats.org/officeDocument/2006/relationships/hyperlink" Target="https://login.consultant.ru/link/?req=doc&amp;base=RLAW358&amp;n=161576&amp;dst=100008" TargetMode="External"/><Relationship Id="rId55" Type="http://schemas.openxmlformats.org/officeDocument/2006/relationships/hyperlink" Target="https://login.consultant.ru/link/?req=doc&amp;base=RLAW358&amp;n=177961&amp;dst=100016" TargetMode="External"/><Relationship Id="rId76" Type="http://schemas.openxmlformats.org/officeDocument/2006/relationships/hyperlink" Target="https://login.consultant.ru/link/?req=doc&amp;base=RLAW358&amp;n=161576&amp;dst=100010" TargetMode="External"/><Relationship Id="rId97" Type="http://schemas.openxmlformats.org/officeDocument/2006/relationships/hyperlink" Target="https://login.consultant.ru/link/?req=doc&amp;base=RLAW358&amp;n=150592&amp;dst=100145" TargetMode="External"/><Relationship Id="rId104" Type="http://schemas.openxmlformats.org/officeDocument/2006/relationships/hyperlink" Target="https://login.consultant.ru/link/?req=doc&amp;base=RLAW358&amp;n=181542&amp;dst=100953" TargetMode="External"/><Relationship Id="rId7" Type="http://schemas.openxmlformats.org/officeDocument/2006/relationships/hyperlink" Target="https://login.consultant.ru/link/?req=doc&amp;base=RLAW358&amp;n=57601&amp;dst=100005" TargetMode="External"/><Relationship Id="rId71" Type="http://schemas.openxmlformats.org/officeDocument/2006/relationships/hyperlink" Target="https://login.consultant.ru/link/?req=doc&amp;base=RLAW358&amp;n=161576&amp;dst=100008" TargetMode="External"/><Relationship Id="rId92" Type="http://schemas.openxmlformats.org/officeDocument/2006/relationships/hyperlink" Target="https://login.consultant.ru/link/?req=doc&amp;base=RLAW358&amp;n=161576&amp;dst=10000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867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87</Pages>
  <Words>10836</Words>
  <Characters>61770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2025-01-23T06:09:00Z</dcterms:created>
  <dcterms:modified xsi:type="dcterms:W3CDTF">2025-01-23T06:09:00Z</dcterms:modified>
</cp:coreProperties>
</file>