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9072"/>
        <w:spacing w:line="228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УТВЕРЖДЕН</w:t>
      </w:r>
      <w:r>
        <w:rPr>
          <w:rFonts w:ascii="PT Astra Serif" w:hAnsi="PT Astra Serif"/>
          <w:sz w:val="24"/>
          <w:szCs w:val="24"/>
        </w:rPr>
      </w:r>
    </w:p>
    <w:p>
      <w:pPr>
        <w:ind w:left="9072"/>
        <w:spacing w:line="228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</w:r>
    </w:p>
    <w:p>
      <w:pPr>
        <w:ind w:left="9072"/>
        <w:spacing w:line="228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приказом</w:t>
      </w:r>
      <w:r>
        <w:rPr>
          <w:rFonts w:ascii="PT Astra Serif" w:hAnsi="PT Astra Serif"/>
          <w:sz w:val="24"/>
          <w:szCs w:val="24"/>
        </w:rPr>
        <w:t xml:space="preserve"> министерства финансов Саратовской области от </w:t>
      </w:r>
      <w:r>
        <w:rPr>
          <w:rFonts w:ascii="PT Astra Serif" w:hAnsi="PT Astra Serif"/>
          <w:sz w:val="24"/>
          <w:szCs w:val="24"/>
        </w:rPr>
        <w:t xml:space="preserve">19.12.2024</w:t>
      </w:r>
      <w:r>
        <w:rPr>
          <w:rFonts w:ascii="PT Astra Serif" w:hAnsi="PT Astra Serif"/>
          <w:sz w:val="24"/>
          <w:szCs w:val="24"/>
        </w:rPr>
        <w:t xml:space="preserve"> № 466</w:t>
      </w:r>
      <w:bookmarkStart w:id="0" w:name="_GoBack"/>
      <w:r>
        <w:rPr>
          <w:sz w:val="24"/>
          <w:szCs w:val="24"/>
        </w:rPr>
      </w:r>
      <w:bookmarkEnd w:id="0"/>
      <w:r>
        <w:rPr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54"/>
        <w:jc w:val="center"/>
        <w:rPr>
          <w:rFonts w:ascii="PT Astra Serif" w:hAnsi="PT Astra Serif"/>
          <w:b w:val="0"/>
          <w:bCs w:val="0"/>
          <w:sz w:val="28"/>
          <w:szCs w:val="28"/>
        </w:rPr>
      </w:pPr>
      <w:r>
        <w:rPr>
          <w:rFonts w:ascii="PT Astra Serif" w:hAnsi="PT Astra Serif"/>
          <w:b w:val="0"/>
          <w:bCs w:val="0"/>
          <w:sz w:val="28"/>
          <w:szCs w:val="28"/>
        </w:rPr>
      </w:r>
      <w:r>
        <w:rPr>
          <w:rFonts w:ascii="PT Astra Serif" w:hAnsi="PT Astra Serif"/>
          <w:b w:val="0"/>
          <w:bCs w:val="0"/>
          <w:sz w:val="28"/>
          <w:szCs w:val="28"/>
        </w:rPr>
      </w:r>
    </w:p>
    <w:p>
      <w:pPr>
        <w:pStyle w:val="854"/>
        <w:jc w:val="center"/>
        <w:rPr>
          <w:rFonts w:ascii="PT Astra Serif" w:hAnsi="PT Astra Serif"/>
          <w:b w:val="0"/>
          <w:bCs w:val="0"/>
          <w:sz w:val="28"/>
          <w:szCs w:val="28"/>
        </w:rPr>
      </w:pPr>
      <w:r>
        <w:rPr>
          <w:rFonts w:ascii="PT Astra Serif" w:hAnsi="PT Astra Serif"/>
          <w:b w:val="0"/>
          <w:bCs w:val="0"/>
          <w:sz w:val="28"/>
          <w:szCs w:val="28"/>
        </w:rPr>
      </w:r>
      <w:r>
        <w:rPr>
          <w:rFonts w:ascii="PT Astra Serif" w:hAnsi="PT Astra Serif"/>
          <w:b w:val="0"/>
          <w:bCs w:val="0"/>
          <w:sz w:val="28"/>
          <w:szCs w:val="28"/>
        </w:rPr>
      </w:r>
    </w:p>
    <w:p>
      <w:pPr>
        <w:pStyle w:val="853"/>
        <w:jc w:val="center"/>
        <w:spacing w:line="233" w:lineRule="auto"/>
        <w:rPr>
          <w:rFonts w:ascii="PT Astra Serif" w:hAnsi="PT Astra Serif"/>
          <w:b/>
          <w:sz w:val="28"/>
          <w:szCs w:val="28"/>
        </w:rPr>
      </w:pPr>
      <w:r>
        <w:rPr>
          <w:sz w:val="28"/>
          <w:szCs w:val="28"/>
        </w:rPr>
      </w:r>
      <w:bookmarkStart w:id="1" w:name="Par32"/>
      <w:r>
        <w:rPr>
          <w:sz w:val="28"/>
          <w:szCs w:val="28"/>
        </w:rPr>
      </w:r>
      <w:bookmarkEnd w:id="1"/>
      <w:r>
        <w:rPr>
          <w:rFonts w:ascii="PT Astra Serif" w:hAnsi="PT Astra Serif"/>
          <w:b/>
          <w:sz w:val="28"/>
          <w:szCs w:val="28"/>
        </w:rPr>
        <w:t xml:space="preserve">План </w:t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53"/>
        <w:jc w:val="center"/>
        <w:spacing w:line="233" w:lineRule="auto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проведения министерством финансов Саратовской области проверок соблюдения подведомственными организаци</w:t>
      </w:r>
      <w:r>
        <w:rPr>
          <w:rFonts w:ascii="PT Astra Serif" w:hAnsi="PT Astra Serif"/>
          <w:b/>
          <w:sz w:val="28"/>
          <w:szCs w:val="28"/>
        </w:rPr>
        <w:t xml:space="preserve">ями</w:t>
      </w:r>
      <w:r>
        <w:rPr>
          <w:rFonts w:ascii="PT Astra Serif" w:hAnsi="PT Astra Serif"/>
          <w:b/>
          <w:sz w:val="28"/>
          <w:szCs w:val="28"/>
        </w:rPr>
        <w:t xml:space="preserve"> трудового законодательства и иных нормативных правовых актов, содержащих нормы трудового права, на 2025 год</w:t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53"/>
        <w:jc w:val="center"/>
        <w:spacing w:line="233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3"/>
        <w:jc w:val="center"/>
        <w:spacing w:line="233" w:lineRule="auto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22"/>
        <w:gridCol w:w="6769"/>
        <w:gridCol w:w="2586"/>
        <w:gridCol w:w="2587"/>
        <w:gridCol w:w="2517"/>
      </w:tblGrid>
      <w:tr>
        <w:tblPrEx/>
        <w:trPr/>
        <w:tc>
          <w:tcPr>
            <w:tcW w:w="622" w:type="dxa"/>
            <w:textDirection w:val="lrTb"/>
            <w:noWrap w:val="false"/>
          </w:tcPr>
          <w:p>
            <w:pPr>
              <w:pStyle w:val="853"/>
              <w:jc w:val="center"/>
              <w:spacing w:line="233" w:lineRule="auto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п/п</w:t>
            </w:r>
            <w:r>
              <w:rPr>
                <w:rFonts w:ascii="PT Astra Serif" w:hAnsi="PT Astra Serif"/>
                <w:b/>
                <w:sz w:val="28"/>
                <w:szCs w:val="28"/>
              </w:rPr>
            </w:r>
          </w:p>
        </w:tc>
        <w:tc>
          <w:tcPr>
            <w:tcW w:w="6769" w:type="dxa"/>
            <w:textDirection w:val="lrTb"/>
            <w:noWrap w:val="false"/>
          </w:tcPr>
          <w:p>
            <w:pPr>
              <w:pStyle w:val="853"/>
              <w:jc w:val="center"/>
              <w:spacing w:line="233" w:lineRule="auto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Наименование подведомственной организации</w:t>
            </w:r>
            <w:r>
              <w:rPr>
                <w:rFonts w:ascii="PT Astra Serif" w:hAnsi="PT Astra Serif"/>
                <w:b/>
                <w:sz w:val="28"/>
                <w:szCs w:val="28"/>
              </w:rPr>
            </w:r>
          </w:p>
        </w:tc>
        <w:tc>
          <w:tcPr>
            <w:tcW w:w="2586" w:type="dxa"/>
            <w:textDirection w:val="lrTb"/>
            <w:noWrap w:val="false"/>
          </w:tcPr>
          <w:p>
            <w:pPr>
              <w:pStyle w:val="853"/>
              <w:jc w:val="center"/>
              <w:spacing w:line="233" w:lineRule="auto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Идентификационный номер налогоплательщика</w:t>
            </w:r>
            <w:r>
              <w:rPr>
                <w:rFonts w:ascii="PT Astra Serif" w:hAnsi="PT Astra Serif"/>
                <w:b/>
                <w:sz w:val="28"/>
                <w:szCs w:val="28"/>
              </w:rPr>
            </w:r>
          </w:p>
        </w:tc>
        <w:tc>
          <w:tcPr>
            <w:tcW w:w="2587" w:type="dxa"/>
            <w:textDirection w:val="lrTb"/>
            <w:noWrap w:val="false"/>
          </w:tcPr>
          <w:p>
            <w:pPr>
              <w:pStyle w:val="853"/>
              <w:jc w:val="center"/>
              <w:spacing w:line="233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Место нахождения подведомственной организации</w:t>
            </w:r>
            <w:r>
              <w:rPr>
                <w:rFonts w:ascii="PT Astra Serif" w:hAnsi="PT Astra Serif"/>
                <w:sz w:val="28"/>
                <w:szCs w:val="28"/>
              </w:rPr>
            </w:r>
          </w:p>
        </w:tc>
        <w:tc>
          <w:tcPr>
            <w:tcW w:w="2517" w:type="dxa"/>
            <w:textDirection w:val="lrTb"/>
            <w:noWrap w:val="false"/>
          </w:tcPr>
          <w:p>
            <w:pPr>
              <w:pStyle w:val="853"/>
              <w:jc w:val="center"/>
              <w:spacing w:line="233" w:lineRule="auto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Дата начала проведения проверки (день, месяц, год)</w:t>
            </w:r>
            <w:r>
              <w:rPr>
                <w:rFonts w:ascii="PT Astra Serif" w:hAnsi="PT Astra Serif"/>
                <w:b/>
                <w:sz w:val="28"/>
                <w:szCs w:val="28"/>
              </w:rPr>
            </w:r>
          </w:p>
        </w:tc>
      </w:tr>
      <w:tr>
        <w:tblPrEx/>
        <w:trPr/>
        <w:tc>
          <w:tcPr>
            <w:tcW w:w="622" w:type="dxa"/>
            <w:textDirection w:val="lrTb"/>
            <w:noWrap w:val="false"/>
          </w:tcPr>
          <w:p>
            <w:pPr>
              <w:pStyle w:val="853"/>
              <w:jc w:val="center"/>
              <w:spacing w:line="233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1.</w:t>
            </w:r>
            <w:r>
              <w:rPr>
                <w:rFonts w:ascii="PT Astra Serif" w:hAnsi="PT Astra Serif"/>
                <w:sz w:val="28"/>
                <w:szCs w:val="28"/>
              </w:rPr>
            </w:r>
          </w:p>
        </w:tc>
        <w:tc>
          <w:tcPr>
            <w:tcW w:w="6769" w:type="dxa"/>
            <w:textDirection w:val="lrTb"/>
            <w:noWrap w:val="false"/>
          </w:tcPr>
          <w:p>
            <w:pPr>
              <w:pStyle w:val="853"/>
              <w:jc w:val="center"/>
              <w:spacing w:line="233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  <w:t xml:space="preserve">Государственное казенное учреждение Саратовской области «Государственное агентство по централизации закупок»</w:t>
            </w:r>
            <w:r>
              <w:rPr>
                <w:rFonts w:ascii="PT Astra Serif" w:hAnsi="PT Astra Serif"/>
                <w:sz w:val="28"/>
                <w:szCs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</w:r>
          </w:p>
        </w:tc>
        <w:tc>
          <w:tcPr>
            <w:tcW w:w="2586" w:type="dxa"/>
            <w:textDirection w:val="lrTb"/>
            <w:noWrap w:val="false"/>
          </w:tcPr>
          <w:p>
            <w:pPr>
              <w:pStyle w:val="853"/>
              <w:jc w:val="center"/>
              <w:spacing w:line="233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  <w:t xml:space="preserve">6454140585</w:t>
            </w:r>
            <w:r>
              <w:rPr>
                <w:rFonts w:ascii="PT Astra Serif" w:hAnsi="PT Astra Serif"/>
                <w:sz w:val="28"/>
                <w:szCs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</w:r>
          </w:p>
        </w:tc>
        <w:tc>
          <w:tcPr>
            <w:tcW w:w="2587" w:type="dxa"/>
            <w:textDirection w:val="lrTb"/>
            <w:noWrap w:val="false"/>
          </w:tcPr>
          <w:p>
            <w:pPr>
              <w:pStyle w:val="853"/>
              <w:jc w:val="center"/>
              <w:spacing w:line="233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г. Саратов</w:t>
            </w:r>
            <w:r>
              <w:rPr>
                <w:rFonts w:ascii="PT Astra Serif" w:hAnsi="PT Astra Serif"/>
                <w:sz w:val="28"/>
                <w:szCs w:val="28"/>
              </w:rPr>
            </w:r>
          </w:p>
        </w:tc>
        <w:tc>
          <w:tcPr>
            <w:tcW w:w="2517" w:type="dxa"/>
            <w:textDirection w:val="lrTb"/>
            <w:noWrap w:val="false"/>
          </w:tcPr>
          <w:p>
            <w:pPr>
              <w:pStyle w:val="853"/>
              <w:jc w:val="center"/>
              <w:spacing w:line="233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29.09.2025</w:t>
            </w:r>
            <w:r>
              <w:rPr>
                <w:rFonts w:ascii="PT Astra Serif" w:hAnsi="PT Astra Serif"/>
                <w:sz w:val="28"/>
                <w:szCs w:val="28"/>
              </w:rPr>
            </w:r>
          </w:p>
        </w:tc>
      </w:tr>
    </w:tbl>
    <w:p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sectPr>
      <w:headerReference w:type="default" r:id="rId8"/>
      <w:footnotePr/>
      <w:endnotePr/>
      <w:type w:val="nextPage"/>
      <w:pgSz w:w="16838" w:h="11906" w:orient="landscape"/>
      <w:pgMar w:top="1701" w:right="1134" w:bottom="851" w:left="1134" w:header="397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703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81"/>
    <w:link w:val="672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81"/>
    <w:link w:val="673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81"/>
    <w:link w:val="674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81"/>
    <w:link w:val="675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81"/>
    <w:link w:val="676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81"/>
    <w:link w:val="677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81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81"/>
    <w:link w:val="679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81"/>
    <w:link w:val="680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81"/>
    <w:link w:val="695"/>
    <w:uiPriority w:val="10"/>
    <w:rPr>
      <w:sz w:val="48"/>
      <w:szCs w:val="48"/>
    </w:rPr>
  </w:style>
  <w:style w:type="character" w:styleId="37">
    <w:name w:val="Subtitle Char"/>
    <w:basedOn w:val="681"/>
    <w:link w:val="697"/>
    <w:uiPriority w:val="11"/>
    <w:rPr>
      <w:sz w:val="24"/>
      <w:szCs w:val="24"/>
    </w:rPr>
  </w:style>
  <w:style w:type="character" w:styleId="39">
    <w:name w:val="Quote Char"/>
    <w:link w:val="699"/>
    <w:uiPriority w:val="29"/>
    <w:rPr>
      <w:i/>
    </w:rPr>
  </w:style>
  <w:style w:type="character" w:styleId="41">
    <w:name w:val="Intense Quote Char"/>
    <w:link w:val="701"/>
    <w:uiPriority w:val="30"/>
    <w:rPr>
      <w:i/>
    </w:rPr>
  </w:style>
  <w:style w:type="character" w:styleId="179">
    <w:name w:val="Endnote Text Char"/>
    <w:link w:val="839"/>
    <w:uiPriority w:val="99"/>
    <w:rPr>
      <w:sz w:val="20"/>
    </w:rPr>
  </w:style>
  <w:style w:type="paragraph" w:styleId="671" w:default="1">
    <w:name w:val="Normal"/>
    <w:qFormat/>
  </w:style>
  <w:style w:type="paragraph" w:styleId="672">
    <w:name w:val="Heading 1"/>
    <w:link w:val="68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3">
    <w:name w:val="Heading 2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4">
    <w:name w:val="Heading 3"/>
    <w:link w:val="68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5">
    <w:name w:val="Heading 4"/>
    <w:link w:val="6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6">
    <w:name w:val="Heading 5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7">
    <w:name w:val="Heading 6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8">
    <w:name w:val="Heading 7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79">
    <w:name w:val="Heading 8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0">
    <w:name w:val="Heading 9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 w:default="1">
    <w:name w:val="Default Paragraph Font"/>
    <w:uiPriority w:val="1"/>
    <w:semiHidden/>
    <w:unhideWhenUsed/>
  </w:style>
  <w:style w:type="table" w:styleId="6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3" w:default="1">
    <w:name w:val="No List"/>
    <w:uiPriority w:val="99"/>
    <w:semiHidden/>
    <w:unhideWhenUsed/>
  </w:style>
  <w:style w:type="character" w:styleId="684" w:customStyle="1">
    <w:name w:val="Заголовок 1 Знак"/>
    <w:link w:val="672"/>
    <w:uiPriority w:val="9"/>
    <w:rPr>
      <w:rFonts w:ascii="Arial" w:hAnsi="Arial" w:eastAsia="Arial" w:cs="Arial"/>
      <w:sz w:val="40"/>
      <w:szCs w:val="40"/>
    </w:rPr>
  </w:style>
  <w:style w:type="character" w:styleId="685" w:customStyle="1">
    <w:name w:val="Заголовок 2 Знак"/>
    <w:link w:val="673"/>
    <w:uiPriority w:val="9"/>
    <w:rPr>
      <w:rFonts w:ascii="Arial" w:hAnsi="Arial" w:eastAsia="Arial" w:cs="Arial"/>
      <w:sz w:val="34"/>
    </w:rPr>
  </w:style>
  <w:style w:type="character" w:styleId="686" w:customStyle="1">
    <w:name w:val="Заголовок 3 Знак"/>
    <w:link w:val="674"/>
    <w:uiPriority w:val="9"/>
    <w:rPr>
      <w:rFonts w:ascii="Arial" w:hAnsi="Arial" w:eastAsia="Arial" w:cs="Arial"/>
      <w:sz w:val="30"/>
      <w:szCs w:val="30"/>
    </w:rPr>
  </w:style>
  <w:style w:type="character" w:styleId="687" w:customStyle="1">
    <w:name w:val="Заголовок 4 Знак"/>
    <w:link w:val="675"/>
    <w:uiPriority w:val="9"/>
    <w:rPr>
      <w:rFonts w:ascii="Arial" w:hAnsi="Arial" w:eastAsia="Arial" w:cs="Arial"/>
      <w:b/>
      <w:bCs/>
      <w:sz w:val="26"/>
      <w:szCs w:val="26"/>
    </w:rPr>
  </w:style>
  <w:style w:type="character" w:styleId="688" w:customStyle="1">
    <w:name w:val="Заголовок 5 Знак"/>
    <w:link w:val="676"/>
    <w:uiPriority w:val="9"/>
    <w:rPr>
      <w:rFonts w:ascii="Arial" w:hAnsi="Arial" w:eastAsia="Arial" w:cs="Arial"/>
      <w:b/>
      <w:bCs/>
      <w:sz w:val="24"/>
      <w:szCs w:val="24"/>
    </w:rPr>
  </w:style>
  <w:style w:type="character" w:styleId="689" w:customStyle="1">
    <w:name w:val="Заголовок 6 Знак"/>
    <w:link w:val="677"/>
    <w:uiPriority w:val="9"/>
    <w:rPr>
      <w:rFonts w:ascii="Arial" w:hAnsi="Arial" w:eastAsia="Arial" w:cs="Arial"/>
      <w:b/>
      <w:bCs/>
      <w:sz w:val="22"/>
      <w:szCs w:val="22"/>
    </w:rPr>
  </w:style>
  <w:style w:type="character" w:styleId="690" w:customStyle="1">
    <w:name w:val="Заголовок 7 Знак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1" w:customStyle="1">
    <w:name w:val="Заголовок 8 Знак"/>
    <w:link w:val="679"/>
    <w:uiPriority w:val="9"/>
    <w:rPr>
      <w:rFonts w:ascii="Arial" w:hAnsi="Arial" w:eastAsia="Arial" w:cs="Arial"/>
      <w:i/>
      <w:iCs/>
      <w:sz w:val="22"/>
      <w:szCs w:val="22"/>
    </w:rPr>
  </w:style>
  <w:style w:type="character" w:styleId="692" w:customStyle="1">
    <w:name w:val="Заголовок 9 Знак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93">
    <w:name w:val="List Paragraph"/>
    <w:uiPriority w:val="34"/>
    <w:qFormat/>
    <w:pPr>
      <w:contextualSpacing/>
      <w:ind w:left="720"/>
    </w:pPr>
  </w:style>
  <w:style w:type="paragraph" w:styleId="694">
    <w:name w:val="No Spacing"/>
    <w:uiPriority w:val="1"/>
    <w:qFormat/>
  </w:style>
  <w:style w:type="paragraph" w:styleId="695">
    <w:name w:val="Title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 w:customStyle="1">
    <w:name w:val="Название Знак"/>
    <w:link w:val="695"/>
    <w:uiPriority w:val="10"/>
    <w:rPr>
      <w:sz w:val="48"/>
      <w:szCs w:val="48"/>
    </w:rPr>
  </w:style>
  <w:style w:type="paragraph" w:styleId="697">
    <w:name w:val="Subtitle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 w:customStyle="1">
    <w:name w:val="Подзаголовок Знак"/>
    <w:link w:val="697"/>
    <w:uiPriority w:val="11"/>
    <w:rPr>
      <w:sz w:val="24"/>
      <w:szCs w:val="24"/>
    </w:rPr>
  </w:style>
  <w:style w:type="paragraph" w:styleId="699">
    <w:name w:val="Quote"/>
    <w:link w:val="700"/>
    <w:uiPriority w:val="29"/>
    <w:qFormat/>
    <w:pPr>
      <w:ind w:left="720" w:right="720"/>
    </w:pPr>
    <w:rPr>
      <w:i/>
    </w:rPr>
  </w:style>
  <w:style w:type="character" w:styleId="700" w:customStyle="1">
    <w:name w:val="Цитата 2 Знак"/>
    <w:link w:val="699"/>
    <w:uiPriority w:val="29"/>
    <w:rPr>
      <w:i/>
    </w:rPr>
  </w:style>
  <w:style w:type="paragraph" w:styleId="701">
    <w:name w:val="Intense Quote"/>
    <w:link w:val="70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 w:customStyle="1">
    <w:name w:val="Выделенная цитата Знак"/>
    <w:link w:val="701"/>
    <w:uiPriority w:val="30"/>
    <w:rPr>
      <w:i/>
    </w:rPr>
  </w:style>
  <w:style w:type="paragraph" w:styleId="703">
    <w:name w:val="Header"/>
    <w:basedOn w:val="671"/>
    <w:link w:val="857"/>
    <w:pPr>
      <w:tabs>
        <w:tab w:val="center" w:pos="4677" w:leader="none"/>
        <w:tab w:val="right" w:pos="9355" w:leader="none"/>
      </w:tabs>
    </w:pPr>
  </w:style>
  <w:style w:type="character" w:styleId="704" w:customStyle="1">
    <w:name w:val="Header Char"/>
    <w:uiPriority w:val="99"/>
  </w:style>
  <w:style w:type="paragraph" w:styleId="705">
    <w:name w:val="Footer"/>
    <w:basedOn w:val="671"/>
    <w:link w:val="858"/>
    <w:pPr>
      <w:tabs>
        <w:tab w:val="center" w:pos="4677" w:leader="none"/>
        <w:tab w:val="right" w:pos="9355" w:leader="none"/>
      </w:tabs>
    </w:pPr>
  </w:style>
  <w:style w:type="character" w:styleId="706" w:customStyle="1">
    <w:name w:val="Footer Char"/>
    <w:uiPriority w:val="99"/>
  </w:style>
  <w:style w:type="paragraph" w:styleId="707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 w:customStyle="1">
    <w:name w:val="Caption Char"/>
    <w:uiPriority w:val="99"/>
  </w:style>
  <w:style w:type="table" w:styleId="709">
    <w:name w:val="Table Grid"/>
    <w:basedOn w:val="682"/>
    <w:tblPr/>
  </w:style>
  <w:style w:type="table" w:styleId="710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 w:customStyle="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auto"/>
      </w:tcPr>
    </w:tblStylePr>
    <w:tblStylePr w:type="band1Vert">
      <w:tcPr>
        <w:shd w:val="clear" w:color="f2f2f2" w:themeColor="text1" w:themeTint="0D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 w:customStyle="1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 w:customStyle="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 w:customStyle="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auto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39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auto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0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auto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1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auto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2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auto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3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auto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4" w:customStyle="1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auto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auto"/>
      </w:tcPr>
    </w:tblStylePr>
    <w:tblStylePr w:type="band1Vert">
      <w:tcPr>
        <w:shd w:val="clear" w:color="8a8a8a" w:themeColor="text1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auto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auto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uto"/>
      </w:tcPr>
    </w:tblStylePr>
    <w:tblStylePr w:type="band1Vert">
      <w:tcPr>
        <w:shd w:val="clear" w:color="aec4e0" w:themeColor="accent1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auto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auto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auto"/>
      </w:tcPr>
    </w:tblStylePr>
    <w:tblStylePr w:type="band1Vert">
      <w:tcPr>
        <w:shd w:val="clear" w:color="e2aead" w:themeColor="accent2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auto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auto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auto"/>
      </w:tcPr>
    </w:tblStylePr>
    <w:tblStylePr w:type="band1Vert">
      <w:tcPr>
        <w:shd w:val="clear" w:color="d0dfb2" w:themeColor="accent3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auto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auto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auto"/>
      </w:tcPr>
    </w:tblStylePr>
    <w:tblStylePr w:type="band1Vert">
      <w:tcPr>
        <w:shd w:val="clear" w:color="c4b7d4" w:themeColor="accent4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auto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auto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uto"/>
      </w:tcPr>
    </w:tblStylePr>
    <w:tblStylePr w:type="band1Vert">
      <w:tcPr>
        <w:shd w:val="clear" w:color="acd8e4" w:themeColor="accent5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auto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auto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auto"/>
      </w:tcPr>
    </w:tblStylePr>
    <w:tblStylePr w:type="band1Vert">
      <w:tcPr>
        <w:shd w:val="clear" w:color="fbceaa" w:themeColor="accent6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auto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auto"/>
      </w:tcPr>
    </w:tblStylePr>
    <w:tblStylePr w:type="band1Vert"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2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auto"/>
      </w:tcPr>
    </w:tblStylePr>
    <w:tblStylePr w:type="band1Vert"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3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auto"/>
      </w:tcPr>
    </w:tblStylePr>
    <w:tblStylePr w:type="band1Vert"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4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auto"/>
      </w:tcPr>
    </w:tblStylePr>
    <w:tblStylePr w:type="band1Vert"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5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auto"/>
      </w:tcPr>
    </w:tblStylePr>
    <w:tblStylePr w:type="band1Vert"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6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auto"/>
      </w:tcPr>
    </w:tblStylePr>
    <w:tblStylePr w:type="band1Vert"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7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auto"/>
      </w:tcPr>
    </w:tblStylePr>
    <w:tblStylePr w:type="band1Vert"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8" w:customStyle="1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auto"/>
      </w:tcPr>
    </w:tblStylePr>
    <w:tblStylePr w:type="band1Vert"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9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auto"/>
      </w:tcPr>
    </w:tblStylePr>
    <w:tblStylePr w:type="band1Vert"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auto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0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auto"/>
      </w:tcPr>
    </w:tblStylePr>
    <w:tblStylePr w:type="band1Vert"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auto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auto"/>
      </w:tcPr>
    </w:tblStylePr>
    <w:tblStylePr w:type="band1Vert"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auto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auto"/>
      </w:tcPr>
    </w:tblStylePr>
    <w:tblStylePr w:type="band1Vert"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auto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auto"/>
      </w:tcPr>
    </w:tblStylePr>
    <w:tblStylePr w:type="band1Vert"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auto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auto"/>
      </w:tcPr>
    </w:tblStylePr>
    <w:tblStylePr w:type="band1Vert"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auto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auto"/>
      </w:tcPr>
    </w:tblStylePr>
    <w:tblStylePr w:type="band1Vert">
      <w:tcPr>
        <w:shd w:val="clear" w:color="bfbfbf" w:themeColor="text1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auto"/>
      </w:tcPr>
    </w:tblStylePr>
    <w:tblStylePr w:type="band1Vert">
      <w:tcPr>
        <w:shd w:val="clear" w:color="d2dfee" w:themeColor="accent1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auto"/>
      </w:tcPr>
    </w:tblStylePr>
    <w:tblStylePr w:type="band1Vert">
      <w:tcPr>
        <w:shd w:val="clear" w:color="efd2d2" w:themeColor="accent2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auto"/>
      </w:tcPr>
    </w:tblStylePr>
    <w:tblStylePr w:type="band1Vert">
      <w:tcPr>
        <w:shd w:val="clear" w:color="e5eed5" w:themeColor="accent3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auto"/>
      </w:tcPr>
    </w:tblStylePr>
    <w:tblStylePr w:type="band1Vert">
      <w:tcPr>
        <w:shd w:val="clear" w:color="dfd8e7" w:themeColor="accent4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auto"/>
      </w:tcPr>
    </w:tblStylePr>
    <w:tblStylePr w:type="band1Vert">
      <w:tcPr>
        <w:shd w:val="clear" w:color="d1eaf0" w:themeColor="accent5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auto"/>
      </w:tcPr>
    </w:tblStylePr>
    <w:tblStylePr w:type="band1Vert">
      <w:tcPr>
        <w:shd w:val="clear" w:color="fde4d0" w:themeColor="accent6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79" w:customStyle="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auto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auto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auto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auto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auto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auto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auto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auto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auto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auto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auto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auto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auto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auto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auto"/>
      </w:tcPr>
    </w:tblStylePr>
    <w:tblStylePr w:type="band1Vert"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1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auto"/>
      </w:tcPr>
    </w:tblStylePr>
    <w:tblStylePr w:type="band1Vert"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2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auto"/>
      </w:tcPr>
    </w:tblStylePr>
    <w:tblStylePr w:type="band1Vert"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3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auto"/>
      </w:tcPr>
    </w:tblStylePr>
    <w:tblStylePr w:type="band1Vert"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4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auto"/>
      </w:tcPr>
    </w:tblStylePr>
    <w:tblStylePr w:type="band1Vert"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5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auto"/>
      </w:tcPr>
    </w:tblStylePr>
    <w:tblStylePr w:type="band1Vert"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6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auto"/>
      </w:tcPr>
    </w:tblStylePr>
    <w:tblStylePr w:type="band1Vert"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07" w:customStyle="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auto"/>
      </w:tcPr>
    </w:tblStylePr>
    <w:tblStylePr w:type="band1Vert"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auto"/>
      </w:tcPr>
    </w:tblStylePr>
    <w:tblStylePr w:type="band1Vert"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auto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auto"/>
      </w:tcPr>
    </w:tblStylePr>
    <w:tblStylePr w:type="band1Vert"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auto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auto"/>
      </w:tcPr>
    </w:tblStylePr>
    <w:tblStylePr w:type="band1Vert"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auto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auto"/>
      </w:tcPr>
    </w:tblStylePr>
    <w:tblStylePr w:type="band1Vert"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auto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auto"/>
      </w:tcPr>
    </w:tblStylePr>
    <w:tblStylePr w:type="band1Vert"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auto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auto"/>
      </w:tcPr>
    </w:tblStylePr>
    <w:tblStylePr w:type="band1Vert"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auto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</w:style>
  <w:style w:type="table" w:styleId="815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</w:style>
  <w:style w:type="table" w:styleId="816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</w:style>
  <w:style w:type="table" w:styleId="817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</w:style>
  <w:style w:type="table" w:styleId="818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</w:style>
  <w:style w:type="table" w:styleId="819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</w:style>
  <w:style w:type="table" w:styleId="820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</w:style>
  <w:style w:type="table" w:styleId="821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</w:style>
  <w:style w:type="table" w:styleId="822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</w:style>
  <w:style w:type="table" w:styleId="823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</w:style>
  <w:style w:type="table" w:styleId="824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</w:style>
  <w:style w:type="table" w:styleId="825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</w:style>
  <w:style w:type="table" w:styleId="826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</w:style>
  <w:style w:type="table" w:styleId="827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</w:style>
  <w:style w:type="table" w:styleId="828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9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0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1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2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3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4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671"/>
    <w:link w:val="859"/>
  </w:style>
  <w:style w:type="character" w:styleId="837" w:customStyle="1">
    <w:name w:val="Footnote Text Char"/>
    <w:uiPriority w:val="99"/>
    <w:rPr>
      <w:sz w:val="18"/>
    </w:rPr>
  </w:style>
  <w:style w:type="character" w:styleId="838">
    <w:name w:val="footnote reference"/>
    <w:rPr>
      <w:vertAlign w:val="superscript"/>
    </w:rPr>
  </w:style>
  <w:style w:type="paragraph" w:styleId="839">
    <w:name w:val="endnote text"/>
    <w:link w:val="840"/>
    <w:uiPriority w:val="99"/>
    <w:semiHidden/>
    <w:unhideWhenUsed/>
  </w:style>
  <w:style w:type="character" w:styleId="840" w:customStyle="1">
    <w:name w:val="Текст концевой сноски Знак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uiPriority w:val="39"/>
    <w:unhideWhenUsed/>
    <w:pPr>
      <w:spacing w:after="57"/>
    </w:pPr>
  </w:style>
  <w:style w:type="paragraph" w:styleId="843">
    <w:name w:val="toc 2"/>
    <w:uiPriority w:val="39"/>
    <w:unhideWhenUsed/>
    <w:pPr>
      <w:ind w:left="283"/>
      <w:spacing w:after="57"/>
    </w:pPr>
  </w:style>
  <w:style w:type="paragraph" w:styleId="844">
    <w:name w:val="toc 3"/>
    <w:uiPriority w:val="39"/>
    <w:unhideWhenUsed/>
    <w:pPr>
      <w:ind w:left="567"/>
      <w:spacing w:after="57"/>
    </w:pPr>
  </w:style>
  <w:style w:type="paragraph" w:styleId="845">
    <w:name w:val="toc 4"/>
    <w:uiPriority w:val="39"/>
    <w:unhideWhenUsed/>
    <w:pPr>
      <w:ind w:left="850"/>
      <w:spacing w:after="57"/>
    </w:pPr>
  </w:style>
  <w:style w:type="paragraph" w:styleId="846">
    <w:name w:val="toc 5"/>
    <w:uiPriority w:val="39"/>
    <w:unhideWhenUsed/>
    <w:pPr>
      <w:ind w:left="1134"/>
      <w:spacing w:after="57"/>
    </w:pPr>
  </w:style>
  <w:style w:type="paragraph" w:styleId="847">
    <w:name w:val="toc 6"/>
    <w:uiPriority w:val="39"/>
    <w:unhideWhenUsed/>
    <w:pPr>
      <w:ind w:left="1417"/>
      <w:spacing w:after="57"/>
    </w:pPr>
  </w:style>
  <w:style w:type="paragraph" w:styleId="848">
    <w:name w:val="toc 7"/>
    <w:uiPriority w:val="39"/>
    <w:unhideWhenUsed/>
    <w:pPr>
      <w:ind w:left="1701"/>
      <w:spacing w:after="57"/>
    </w:pPr>
  </w:style>
  <w:style w:type="paragraph" w:styleId="849">
    <w:name w:val="toc 8"/>
    <w:uiPriority w:val="39"/>
    <w:unhideWhenUsed/>
    <w:pPr>
      <w:ind w:left="1984"/>
      <w:spacing w:after="57"/>
    </w:pPr>
  </w:style>
  <w:style w:type="paragraph" w:styleId="850">
    <w:name w:val="toc 9"/>
    <w:uiPriority w:val="39"/>
    <w:unhideWhenUsed/>
    <w:pPr>
      <w:ind w:left="2268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uiPriority w:val="99"/>
    <w:unhideWhenUsed/>
  </w:style>
  <w:style w:type="paragraph" w:styleId="853" w:customStyle="1">
    <w:name w:val="ConsPlusNormal"/>
    <w:rPr>
      <w:rFonts w:ascii="Arial" w:hAnsi="Arial"/>
      <w:lang w:eastAsia="ru-RU"/>
    </w:rPr>
  </w:style>
  <w:style w:type="paragraph" w:styleId="854" w:customStyle="1">
    <w:name w:val="ConsPlusTitle"/>
    <w:rPr>
      <w:rFonts w:ascii="Arial" w:hAnsi="Arial"/>
      <w:b/>
      <w:bCs/>
      <w:lang w:eastAsia="ru-RU"/>
    </w:rPr>
  </w:style>
  <w:style w:type="paragraph" w:styleId="855" w:customStyle="1">
    <w:name w:val="ConsPlusCell"/>
    <w:pPr>
      <w:widowControl w:val="off"/>
    </w:pPr>
    <w:rPr>
      <w:rFonts w:ascii="Arial" w:hAnsi="Arial"/>
      <w:lang w:eastAsia="ru-RU"/>
    </w:rPr>
  </w:style>
  <w:style w:type="paragraph" w:styleId="856">
    <w:name w:val="Normal (Web)"/>
    <w:basedOn w:val="671"/>
    <w:pPr>
      <w:spacing w:before="100" w:beforeAutospacing="1" w:after="100" w:afterAutospacing="1"/>
    </w:pPr>
    <w:rPr>
      <w:sz w:val="24"/>
      <w:szCs w:val="24"/>
    </w:rPr>
  </w:style>
  <w:style w:type="character" w:styleId="857" w:customStyle="1">
    <w:name w:val="Верхний колонтитул Знак"/>
    <w:basedOn w:val="681"/>
    <w:link w:val="703"/>
  </w:style>
  <w:style w:type="character" w:styleId="858" w:customStyle="1">
    <w:name w:val="Нижний колонтитул Знак"/>
    <w:basedOn w:val="681"/>
    <w:link w:val="705"/>
  </w:style>
  <w:style w:type="character" w:styleId="859" w:customStyle="1">
    <w:name w:val="Текст сноски Знак"/>
    <w:basedOn w:val="681"/>
    <w:link w:val="836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</cp:revision>
  <dcterms:created xsi:type="dcterms:W3CDTF">2022-12-02T15:00:00Z</dcterms:created>
  <dcterms:modified xsi:type="dcterms:W3CDTF">2024-12-19T16:03:28Z</dcterms:modified>
</cp:coreProperties>
</file>