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74" w:rsidRDefault="00BB2D74" w:rsidP="00BB2D74">
      <w:pPr>
        <w:pStyle w:val="a3"/>
        <w:tabs>
          <w:tab w:val="left" w:pos="708"/>
        </w:tabs>
        <w:jc w:val="center"/>
        <w:rPr>
          <w:rFonts w:ascii="PT Astra Serif" w:hAnsi="PT Astra Serif"/>
          <w:b/>
          <w:bCs/>
          <w:szCs w:val="28"/>
          <w:lang w:val="en-US"/>
        </w:rPr>
      </w:pPr>
      <w:r w:rsidRPr="00EF5E45">
        <w:rPr>
          <w:rFonts w:ascii="PT Astra Serif" w:hAnsi="PT Astra Serif"/>
          <w:b/>
          <w:bCs/>
          <w:szCs w:val="28"/>
        </w:rPr>
        <w:t xml:space="preserve">Пояснительная записка </w:t>
      </w:r>
    </w:p>
    <w:p w:rsidR="00BB2D74" w:rsidRPr="00BB2D74" w:rsidRDefault="00BB2D74" w:rsidP="00BB2D74">
      <w:pPr>
        <w:pStyle w:val="a3"/>
        <w:tabs>
          <w:tab w:val="left" w:pos="708"/>
        </w:tabs>
        <w:jc w:val="center"/>
        <w:rPr>
          <w:rFonts w:ascii="PT Astra Serif" w:hAnsi="PT Astra Serif"/>
          <w:b/>
          <w:bCs/>
          <w:szCs w:val="28"/>
        </w:rPr>
      </w:pPr>
      <w:r w:rsidRPr="00EF5E45">
        <w:rPr>
          <w:rFonts w:ascii="PT Astra Serif" w:hAnsi="PT Astra Serif"/>
          <w:b/>
          <w:bCs/>
          <w:szCs w:val="28"/>
        </w:rPr>
        <w:t xml:space="preserve">к проекту закона Саратовской области «Об областном бюджете </w:t>
      </w:r>
    </w:p>
    <w:p w:rsidR="00BB2D74" w:rsidRPr="00EF5E45" w:rsidRDefault="00BB2D74" w:rsidP="00BB2D74">
      <w:pPr>
        <w:pStyle w:val="a3"/>
        <w:tabs>
          <w:tab w:val="left" w:pos="708"/>
        </w:tabs>
        <w:jc w:val="center"/>
        <w:rPr>
          <w:rFonts w:ascii="PT Astra Serif" w:hAnsi="PT Astra Serif"/>
          <w:b/>
          <w:bCs/>
          <w:szCs w:val="28"/>
        </w:rPr>
      </w:pPr>
      <w:r w:rsidRPr="00EF5E45">
        <w:rPr>
          <w:rFonts w:ascii="PT Astra Serif" w:hAnsi="PT Astra Serif"/>
          <w:b/>
          <w:bCs/>
          <w:szCs w:val="28"/>
        </w:rPr>
        <w:t>на 2025 год и на плановый период 2026 и 2027 годов»</w:t>
      </w:r>
    </w:p>
    <w:p w:rsidR="00BB2D74" w:rsidRPr="00EF5E45" w:rsidRDefault="00BB2D74" w:rsidP="00BB2D74">
      <w:pPr>
        <w:pStyle w:val="ab"/>
        <w:ind w:firstLine="700"/>
        <w:jc w:val="both"/>
        <w:rPr>
          <w:rFonts w:ascii="PT Astra Serif" w:hAnsi="PT Astra Serif"/>
          <w:b w:val="0"/>
          <w:bCs w:val="0"/>
          <w:spacing w:val="-6"/>
          <w:sz w:val="28"/>
          <w:szCs w:val="28"/>
        </w:rPr>
      </w:pP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Проект закона Саратовской области «Об областном бюджете на 2025 год и на плановый период 2026 и 2027 годов» разработан в соответствии с Бюджетным кодексом Российской Федерации и Законом Саратовской области «О бюджетном процессе в Саратовской области».</w:t>
      </w:r>
      <w:bookmarkStart w:id="0" w:name="_GoBack"/>
      <w:bookmarkEnd w:id="0"/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Бюджетные проектировки на 2025-2027 годы сформированы на основе прогноза основных показателей социально-экономического развития области с учетом ограничений, установленных бюджетным законодательством и соглашениями с Министерством финансов Российской Федерации (далее – соглашения).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 xml:space="preserve">Объем налоговых и неналоговых доходов областного бюджета прогнозируется на 2025 год в размере 126,6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 (102,7% к уточненным бюджетным назначениям 2024 года), на 2026 год – 133,9 млрд рублей (105,8% к 2025 году), на 2027 год – 141,8 млрд рублей (105,9% к 2026 году). </w:t>
      </w:r>
    </w:p>
    <w:p w:rsidR="00BB2D74" w:rsidRPr="00145385" w:rsidRDefault="00BB2D74" w:rsidP="00BB2D74">
      <w:pPr>
        <w:shd w:val="clear" w:color="auto" w:fill="FFFFFF"/>
        <w:ind w:firstLine="709"/>
        <w:jc w:val="both"/>
        <w:rPr>
          <w:rFonts w:ascii="PT Astra Serif" w:hAnsi="PT Astra Serif"/>
        </w:rPr>
      </w:pPr>
      <w:proofErr w:type="spellStart"/>
      <w:r w:rsidRPr="00145385">
        <w:rPr>
          <w:rFonts w:ascii="PT Astra Serif" w:hAnsi="PT Astra Serif"/>
        </w:rPr>
        <w:t>Бюджетообразующими</w:t>
      </w:r>
      <w:proofErr w:type="spellEnd"/>
      <w:r w:rsidRPr="00145385">
        <w:rPr>
          <w:rFonts w:ascii="PT Astra Serif" w:hAnsi="PT Astra Serif"/>
        </w:rPr>
        <w:t xml:space="preserve"> доходами областного бюджета являются   налог на прибыль организаций, налог на доходы физических лиц, акцизы, налог, взимаемый в связи с применением упрощенной системы налогообложения, и налог на имущество организаций, в </w:t>
      </w:r>
      <w:proofErr w:type="gramStart"/>
      <w:r w:rsidRPr="00145385">
        <w:rPr>
          <w:rFonts w:ascii="PT Astra Serif" w:hAnsi="PT Astra Serif"/>
        </w:rPr>
        <w:t>совокупности</w:t>
      </w:r>
      <w:proofErr w:type="gramEnd"/>
      <w:r w:rsidRPr="00145385">
        <w:rPr>
          <w:rFonts w:ascii="PT Astra Serif" w:hAnsi="PT Astra Serif"/>
        </w:rPr>
        <w:t xml:space="preserve"> формирующие в 2025-2027 годах свыше  96% налоговых и неналоговых доходов областного бюджета.</w:t>
      </w:r>
    </w:p>
    <w:p w:rsidR="00BB2D74" w:rsidRPr="00145385" w:rsidRDefault="00BB2D74" w:rsidP="00BB2D74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145385">
        <w:rPr>
          <w:rFonts w:ascii="PT Astra Serif" w:hAnsi="PT Astra Serif"/>
        </w:rPr>
        <w:t xml:space="preserve">Учтено поступление дополнительных доходов от реализации инфраструктурных проектов в объеме 244,6 </w:t>
      </w:r>
      <w:proofErr w:type="gramStart"/>
      <w:r w:rsidRPr="00145385">
        <w:rPr>
          <w:rFonts w:ascii="PT Astra Serif" w:hAnsi="PT Astra Serif"/>
        </w:rPr>
        <w:t>млн</w:t>
      </w:r>
      <w:proofErr w:type="gramEnd"/>
      <w:r w:rsidRPr="00145385">
        <w:rPr>
          <w:rFonts w:ascii="PT Astra Serif" w:hAnsi="PT Astra Serif"/>
        </w:rPr>
        <w:t xml:space="preserve"> рублей, 515,9 млн рублей и 785,2 млн рублей</w:t>
      </w:r>
      <w:r>
        <w:rPr>
          <w:rFonts w:ascii="PT Astra Serif" w:hAnsi="PT Astra Serif"/>
        </w:rPr>
        <w:t xml:space="preserve"> по годам планируемого периода </w:t>
      </w:r>
      <w:r w:rsidRPr="00145385">
        <w:rPr>
          <w:rFonts w:ascii="PT Astra Serif" w:hAnsi="PT Astra Serif"/>
        </w:rPr>
        <w:t>соответственно.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Дотации из федерального бюджета</w:t>
      </w:r>
      <w:r w:rsidRPr="00145385">
        <w:t xml:space="preserve"> </w:t>
      </w:r>
      <w:r w:rsidRPr="00145385">
        <w:rPr>
          <w:rFonts w:ascii="PT Astra Serif" w:hAnsi="PT Astra Serif"/>
          <w:szCs w:val="28"/>
        </w:rPr>
        <w:t xml:space="preserve">в связи с отсутствием их распределения между регионами Российской Федерации предварительно запланированы на 2025 год в размере 17,6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рублей, на 2026-2027 годы – по 10,6 млрд рублей ежегодно. Целевые средства </w:t>
      </w:r>
      <w:r>
        <w:rPr>
          <w:rFonts w:ascii="PT Astra Serif" w:hAnsi="PT Astra Serif"/>
          <w:szCs w:val="28"/>
        </w:rPr>
        <w:t>исходя из</w:t>
      </w:r>
      <w:r w:rsidRPr="00145385">
        <w:rPr>
          <w:rFonts w:ascii="PT Astra Serif" w:hAnsi="PT Astra Serif"/>
          <w:szCs w:val="28"/>
        </w:rPr>
        <w:t xml:space="preserve"> распределения в проекте федерального бюджета на 2025-2027 годы </w:t>
      </w:r>
      <w:r>
        <w:rPr>
          <w:rFonts w:ascii="PT Astra Serif" w:hAnsi="PT Astra Serif"/>
          <w:szCs w:val="28"/>
        </w:rPr>
        <w:t>учтены</w:t>
      </w:r>
      <w:r w:rsidRPr="00145385">
        <w:rPr>
          <w:rFonts w:ascii="PT Astra Serif" w:hAnsi="PT Astra Serif"/>
          <w:szCs w:val="28"/>
        </w:rPr>
        <w:t xml:space="preserve"> на 2025 год в сумме 8,3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рублей, на 2026 год - 13,7 млрд рублей, на 2027 год – 3,9 млрд рублей с последующим уточнением.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На весь трехлетний период обеспечена социальная направленность бюджетных расходов – удельный вес социальн</w:t>
      </w:r>
      <w:r>
        <w:rPr>
          <w:rFonts w:ascii="PT Astra Serif" w:hAnsi="PT Astra Serif"/>
          <w:szCs w:val="28"/>
        </w:rPr>
        <w:t>ой</w:t>
      </w:r>
      <w:r w:rsidRPr="00145385">
        <w:rPr>
          <w:rFonts w:ascii="PT Astra Serif" w:hAnsi="PT Astra Serif"/>
          <w:szCs w:val="28"/>
        </w:rPr>
        <w:t xml:space="preserve"> сфер</w:t>
      </w:r>
      <w:r>
        <w:rPr>
          <w:rFonts w:ascii="PT Astra Serif" w:hAnsi="PT Astra Serif"/>
          <w:szCs w:val="28"/>
        </w:rPr>
        <w:t xml:space="preserve">ы </w:t>
      </w:r>
      <w:r w:rsidRPr="00145385">
        <w:rPr>
          <w:rFonts w:ascii="PT Astra Serif" w:hAnsi="PT Astra Serif"/>
          <w:szCs w:val="28"/>
        </w:rPr>
        <w:t>в общем объеме расходов областного бюджета составляет 59%.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Ассигнования</w:t>
      </w:r>
      <w:r w:rsidRPr="00145385">
        <w:rPr>
          <w:rFonts w:ascii="PT Astra Serif" w:hAnsi="PT Astra Serif"/>
          <w:szCs w:val="28"/>
        </w:rPr>
        <w:t xml:space="preserve"> на заработную плату отдельных категорий работников бюджетной сферы, определенных Указами Президента Российской Федерации от 7 мая 2012 года № 597, 1 июня 2012 года № 761 и от 28 декабря 2012 года № 1688, сформированы исходя из действующих в период формирования проекта бюджета на 2025 год целевых ориентиров. Их повышение исходя из прогнозируемого среднемесячного дохода от трудовой деятельности будет осуществляться за счет зарезервированных средств в сумме 4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рублей. 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lastRenderedPageBreak/>
        <w:t>По остальным категориям работников бюджетной сферы оплата труда проиндексирована на прогнозный уровень инфляции ежегодно с 1 октября.</w:t>
      </w:r>
      <w:r>
        <w:rPr>
          <w:rFonts w:ascii="PT Astra Serif" w:hAnsi="PT Astra Serif"/>
          <w:szCs w:val="28"/>
        </w:rPr>
        <w:t xml:space="preserve"> </w:t>
      </w:r>
      <w:r w:rsidRPr="00145385">
        <w:rPr>
          <w:rFonts w:ascii="PT Astra Serif" w:hAnsi="PT Astra Serif"/>
          <w:szCs w:val="28"/>
        </w:rPr>
        <w:t xml:space="preserve">Расходы на оплату труда работников, попадающих под действие минимального </w:t>
      </w:r>
      <w:proofErr w:type="gramStart"/>
      <w:r w:rsidRPr="00145385">
        <w:rPr>
          <w:rFonts w:ascii="PT Astra Serif" w:hAnsi="PT Astra Serif"/>
          <w:szCs w:val="28"/>
        </w:rPr>
        <w:t>размера оплаты труда</w:t>
      </w:r>
      <w:proofErr w:type="gramEnd"/>
      <w:r w:rsidRPr="00145385">
        <w:rPr>
          <w:rFonts w:ascii="PT Astra Serif" w:hAnsi="PT Astra Serif"/>
          <w:szCs w:val="28"/>
        </w:rPr>
        <w:t>, определены с учетом его увеличения с 1 января 2025 года до 22440 рублей.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45385">
        <w:rPr>
          <w:rFonts w:ascii="PT Astra Serif" w:hAnsi="PT Astra Serif"/>
          <w:szCs w:val="28"/>
        </w:rPr>
        <w:t xml:space="preserve">Социальные выплаты </w:t>
      </w:r>
      <w:r>
        <w:rPr>
          <w:rFonts w:ascii="PT Astra Serif" w:hAnsi="PT Astra Serif"/>
          <w:szCs w:val="28"/>
        </w:rPr>
        <w:t xml:space="preserve">включены </w:t>
      </w:r>
      <w:r w:rsidRPr="00145385">
        <w:rPr>
          <w:rFonts w:ascii="PT Astra Serif" w:hAnsi="PT Astra Serif"/>
          <w:szCs w:val="28"/>
        </w:rPr>
        <w:t>с ежегодной индексацией в 2025-2027 годах с 1 октября на прогнозный уровень инфляции, а также с учетом роста тарифов на оплату жилого помещения и коммунальных услуг, платежи на обязательное медицинское страхование неработающего населения – в соо</w:t>
      </w:r>
      <w:r w:rsidRPr="00145385">
        <w:rPr>
          <w:rFonts w:ascii="PT Astra Serif" w:hAnsi="PT Astra Serif"/>
          <w:szCs w:val="28"/>
        </w:rPr>
        <w:t>т</w:t>
      </w:r>
      <w:r w:rsidRPr="00145385">
        <w:rPr>
          <w:rFonts w:ascii="PT Astra Serif" w:hAnsi="PT Astra Serif"/>
          <w:szCs w:val="28"/>
        </w:rPr>
        <w:t>ветствии с федеральным нормативом с учетом коэффициента удорожания согласно проекту федерального закона «О бюджете Федерального фонда обязательного медицинского страхования на 2025 год и</w:t>
      </w:r>
      <w:proofErr w:type="gramEnd"/>
      <w:r w:rsidRPr="00145385">
        <w:rPr>
          <w:rFonts w:ascii="PT Astra Serif" w:hAnsi="PT Astra Serif"/>
          <w:szCs w:val="28"/>
        </w:rPr>
        <w:t xml:space="preserve"> на плановый период 2026 и 2027 годов». </w:t>
      </w:r>
    </w:p>
    <w:p w:rsidR="00BB2D74" w:rsidRPr="00145385" w:rsidRDefault="00BB2D74" w:rsidP="00BB2D74">
      <w:pPr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Первоочередные расходы областного бюджета, рассчитанные исходя из условий, действующих на момент формирования проекта закона об областном бюджете, обеспечены в полном объеме.</w:t>
      </w:r>
    </w:p>
    <w:p w:rsidR="00BB2D74" w:rsidRPr="00145385" w:rsidRDefault="00BB2D74" w:rsidP="00BB2D74">
      <w:pPr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 xml:space="preserve">В целях обеспечения жилыми помещениями детей-сирот и детей, оставшихся без попечения родителей, в 2025 году запланировано 1,5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рублей, в 2026-2027 годах по 0,7 млрд рублей. </w:t>
      </w:r>
    </w:p>
    <w:p w:rsidR="00BB2D74" w:rsidRPr="00145385" w:rsidRDefault="00BB2D74" w:rsidP="00BB2D74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 xml:space="preserve">Областной дорожный фонд предусмотрен в соответствии с прогнозом поступления образующих его доходов в объеме на 2025 год 13,6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рублей, 2026 год – 21,1 млрд рублей и на 2027 год – 12,9 млрд рублей, учтена сумма погашения задолженности по бюджетным кредитам, полученным на соответствующие цели в предшествующие годы.</w:t>
      </w:r>
    </w:p>
    <w:p w:rsidR="00BB2D74" w:rsidRPr="00145385" w:rsidRDefault="00BB2D74" w:rsidP="00BB2D74">
      <w:pPr>
        <w:ind w:firstLine="709"/>
        <w:jc w:val="both"/>
        <w:rPr>
          <w:rFonts w:ascii="PT Astra Serif" w:hAnsi="PT Astra Serif"/>
          <w:strike/>
          <w:szCs w:val="28"/>
        </w:rPr>
      </w:pPr>
      <w:r w:rsidRPr="00145385">
        <w:rPr>
          <w:rFonts w:ascii="PT Astra Serif" w:hAnsi="PT Astra Serif"/>
          <w:szCs w:val="28"/>
        </w:rPr>
        <w:t xml:space="preserve">На финансовое обеспечение реализации проекта комплексного развития территории бывшего аэропорта Саратов «Центральный» за счет инфраструктурного бюджетного кредита из федерального бюджета предусмотрено на 2025 год 1,7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рублей. </w:t>
      </w:r>
    </w:p>
    <w:p w:rsidR="00BB2D74" w:rsidRPr="00145385" w:rsidRDefault="00BB2D74" w:rsidP="00BB2D74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45385">
        <w:rPr>
          <w:rFonts w:ascii="PT Astra Serif" w:hAnsi="PT Astra Serif"/>
          <w:szCs w:val="28"/>
        </w:rPr>
        <w:t>Зарезервированы средства на мероприятия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 с обеспечением временного размещения и питания на территории Саратовской области граждан Российской Федерации, иностранных граждан и лиц</w:t>
      </w:r>
      <w:proofErr w:type="gramEnd"/>
      <w:r w:rsidRPr="00145385">
        <w:rPr>
          <w:rFonts w:ascii="PT Astra Serif" w:hAnsi="PT Astra Serif"/>
          <w:szCs w:val="28"/>
        </w:rPr>
        <w:t xml:space="preserve">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помещения, исполнение публичных нормативных обязательств и увеличение бюджетных ассигнований в связи с уточнением прогнозируемого уровня инфляции в объемах: на 2025 год – </w:t>
      </w:r>
      <w:r>
        <w:rPr>
          <w:rFonts w:ascii="PT Astra Serif" w:hAnsi="PT Astra Serif"/>
          <w:szCs w:val="28"/>
        </w:rPr>
        <w:t>9,2</w:t>
      </w:r>
      <w:r w:rsidRPr="00145385">
        <w:rPr>
          <w:rFonts w:ascii="PT Astra Serif" w:hAnsi="PT Astra Serif"/>
          <w:szCs w:val="28"/>
        </w:rPr>
        <w:t xml:space="preserve"> </w:t>
      </w:r>
      <w:proofErr w:type="gramStart"/>
      <w:r w:rsidRPr="00145385">
        <w:rPr>
          <w:rFonts w:ascii="PT Astra Serif" w:hAnsi="PT Astra Serif"/>
          <w:szCs w:val="28"/>
        </w:rPr>
        <w:t>млрд</w:t>
      </w:r>
      <w:proofErr w:type="gramEnd"/>
      <w:r w:rsidRPr="00145385">
        <w:rPr>
          <w:rFonts w:ascii="PT Astra Serif" w:hAnsi="PT Astra Serif"/>
          <w:szCs w:val="28"/>
        </w:rPr>
        <w:t xml:space="preserve"> рублей, на 2026 год – </w:t>
      </w:r>
      <w:r>
        <w:rPr>
          <w:rFonts w:ascii="PT Astra Serif" w:hAnsi="PT Astra Serif"/>
          <w:szCs w:val="28"/>
        </w:rPr>
        <w:t>10,2</w:t>
      </w:r>
      <w:r w:rsidRPr="00145385">
        <w:rPr>
          <w:rFonts w:ascii="PT Astra Serif" w:hAnsi="PT Astra Serif"/>
          <w:szCs w:val="28"/>
        </w:rPr>
        <w:t xml:space="preserve"> млрд рублей, на 2027 год – </w:t>
      </w:r>
      <w:r>
        <w:rPr>
          <w:rFonts w:ascii="PT Astra Serif" w:hAnsi="PT Astra Serif"/>
          <w:szCs w:val="28"/>
        </w:rPr>
        <w:t>10,7</w:t>
      </w:r>
      <w:r w:rsidRPr="00145385">
        <w:rPr>
          <w:rFonts w:ascii="PT Astra Serif" w:hAnsi="PT Astra Serif"/>
          <w:szCs w:val="28"/>
        </w:rPr>
        <w:t xml:space="preserve"> млрд рублей. </w:t>
      </w:r>
    </w:p>
    <w:p w:rsidR="00BB2D74" w:rsidRPr="00145385" w:rsidRDefault="00BB2D74" w:rsidP="00BB2D74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45385">
        <w:rPr>
          <w:rFonts w:ascii="PT Astra Serif" w:hAnsi="PT Astra Serif"/>
          <w:szCs w:val="28"/>
        </w:rPr>
        <w:t xml:space="preserve">Кроме того, в соответствии с пунктом 3 статьи 184.1 Бюджетного кодекса Российской Федерации в общем объеме расходов </w:t>
      </w:r>
      <w:r w:rsidRPr="00145385">
        <w:rPr>
          <w:rFonts w:ascii="PT Astra Serif" w:hAnsi="PT Astra Serif"/>
          <w:szCs w:val="28"/>
        </w:rPr>
        <w:lastRenderedPageBreak/>
        <w:t>предусматриваются условно утверждаемые расходы (не распределенные в плановом периоде в соответствии с классификацией расходов бюджетов бюджетные ассигнования) в объеме 6,4% на 2026 год и 8% на 2027 год от общего объема собственных расходов бюджета на соответствующий год планового периода.</w:t>
      </w:r>
      <w:proofErr w:type="gramEnd"/>
    </w:p>
    <w:p w:rsidR="00BB2D74" w:rsidRPr="00145385" w:rsidRDefault="00BB2D74" w:rsidP="00BB2D74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 xml:space="preserve"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 и условиям соглашений. </w:t>
      </w:r>
    </w:p>
    <w:p w:rsidR="00BB2D74" w:rsidRPr="00EF5E45" w:rsidRDefault="00BB2D74" w:rsidP="00BB2D74">
      <w:pPr>
        <w:tabs>
          <w:tab w:val="left" w:pos="0"/>
        </w:tabs>
        <w:jc w:val="both"/>
        <w:rPr>
          <w:rFonts w:ascii="PT Astra Serif" w:eastAsia="Calibri" w:hAnsi="PT Astra Serif"/>
          <w:b/>
          <w:szCs w:val="28"/>
          <w:lang w:eastAsia="en-US"/>
        </w:rPr>
      </w:pPr>
    </w:p>
    <w:p w:rsidR="00BB2D74" w:rsidRPr="00EF5E45" w:rsidRDefault="00BB2D74" w:rsidP="00BB2D74">
      <w:pPr>
        <w:tabs>
          <w:tab w:val="left" w:pos="0"/>
        </w:tabs>
        <w:jc w:val="both"/>
        <w:rPr>
          <w:rFonts w:ascii="PT Astra Serif" w:eastAsia="Calibri" w:hAnsi="PT Astra Serif"/>
          <w:b/>
          <w:szCs w:val="28"/>
          <w:lang w:eastAsia="en-US"/>
        </w:rPr>
      </w:pPr>
    </w:p>
    <w:p w:rsidR="00BB2D74" w:rsidRPr="00EF5E45" w:rsidRDefault="00BB2D74" w:rsidP="00BB2D74">
      <w:pPr>
        <w:tabs>
          <w:tab w:val="left" w:pos="0"/>
        </w:tabs>
        <w:jc w:val="both"/>
        <w:rPr>
          <w:rFonts w:ascii="PT Astra Serif" w:eastAsia="Calibri" w:hAnsi="PT Astra Serif"/>
          <w:szCs w:val="28"/>
          <w:lang w:eastAsia="en-US"/>
        </w:rPr>
      </w:pPr>
      <w:r w:rsidRPr="00EF5E45">
        <w:rPr>
          <w:rFonts w:ascii="PT Astra Serif" w:eastAsia="Calibri" w:hAnsi="PT Astra Serif"/>
          <w:b/>
          <w:szCs w:val="28"/>
          <w:lang w:eastAsia="en-US"/>
        </w:rPr>
        <w:t xml:space="preserve">Министр финансов области                                                      И.С. </w:t>
      </w:r>
      <w:proofErr w:type="spellStart"/>
      <w:r w:rsidRPr="00EF5E45">
        <w:rPr>
          <w:rFonts w:ascii="PT Astra Serif" w:eastAsia="Calibri" w:hAnsi="PT Astra Serif"/>
          <w:b/>
          <w:szCs w:val="28"/>
          <w:lang w:eastAsia="en-US"/>
        </w:rPr>
        <w:t>Бегинина</w:t>
      </w:r>
      <w:proofErr w:type="spellEnd"/>
    </w:p>
    <w:p w:rsidR="00654C58" w:rsidRPr="00BB2D74" w:rsidRDefault="00654C58" w:rsidP="00BB2D74"/>
    <w:sectPr w:rsidR="00654C58" w:rsidRPr="00BB2D74" w:rsidSect="00D4159E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97C" w:rsidRDefault="00B7797C" w:rsidP="004B6585">
      <w:r>
        <w:separator/>
      </w:r>
    </w:p>
  </w:endnote>
  <w:endnote w:type="continuationSeparator" w:id="0">
    <w:p w:rsidR="00B7797C" w:rsidRDefault="00B7797C" w:rsidP="004B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585" w:rsidRPr="004B6585" w:rsidRDefault="004B6585">
    <w:pPr>
      <w:pStyle w:val="a9"/>
      <w:jc w:val="right"/>
      <w:rPr>
        <w:sz w:val="16"/>
        <w:szCs w:val="16"/>
      </w:rPr>
    </w:pPr>
  </w:p>
  <w:p w:rsidR="004B6585" w:rsidRDefault="004B65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97C" w:rsidRDefault="00B7797C" w:rsidP="004B6585">
      <w:r>
        <w:separator/>
      </w:r>
    </w:p>
  </w:footnote>
  <w:footnote w:type="continuationSeparator" w:id="0">
    <w:p w:rsidR="00B7797C" w:rsidRDefault="00B7797C" w:rsidP="004B6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D6"/>
    <w:rsid w:val="0000510E"/>
    <w:rsid w:val="000458D5"/>
    <w:rsid w:val="00061F30"/>
    <w:rsid w:val="000716D9"/>
    <w:rsid w:val="0009179C"/>
    <w:rsid w:val="000F2028"/>
    <w:rsid w:val="001003C4"/>
    <w:rsid w:val="001977DE"/>
    <w:rsid w:val="001C27CB"/>
    <w:rsid w:val="00291A8E"/>
    <w:rsid w:val="002933C7"/>
    <w:rsid w:val="002A4BD6"/>
    <w:rsid w:val="002D33AD"/>
    <w:rsid w:val="00343DAE"/>
    <w:rsid w:val="00352D45"/>
    <w:rsid w:val="00383D9A"/>
    <w:rsid w:val="003C01B9"/>
    <w:rsid w:val="003D1551"/>
    <w:rsid w:val="003D30BB"/>
    <w:rsid w:val="003D7EF7"/>
    <w:rsid w:val="00412740"/>
    <w:rsid w:val="004724F7"/>
    <w:rsid w:val="004B6585"/>
    <w:rsid w:val="004C2DAB"/>
    <w:rsid w:val="004D3221"/>
    <w:rsid w:val="0052680B"/>
    <w:rsid w:val="005515F6"/>
    <w:rsid w:val="00581A04"/>
    <w:rsid w:val="005D74A0"/>
    <w:rsid w:val="005E5ADE"/>
    <w:rsid w:val="005F1B6E"/>
    <w:rsid w:val="006302FC"/>
    <w:rsid w:val="00633CDD"/>
    <w:rsid w:val="00654C58"/>
    <w:rsid w:val="0068528D"/>
    <w:rsid w:val="006936CD"/>
    <w:rsid w:val="006D2182"/>
    <w:rsid w:val="006D35C3"/>
    <w:rsid w:val="00781673"/>
    <w:rsid w:val="00786F06"/>
    <w:rsid w:val="0079299F"/>
    <w:rsid w:val="007A1975"/>
    <w:rsid w:val="007A5671"/>
    <w:rsid w:val="007F0CAB"/>
    <w:rsid w:val="008007E6"/>
    <w:rsid w:val="008057F3"/>
    <w:rsid w:val="0081434F"/>
    <w:rsid w:val="00820146"/>
    <w:rsid w:val="00825233"/>
    <w:rsid w:val="0083487F"/>
    <w:rsid w:val="00865277"/>
    <w:rsid w:val="0088357D"/>
    <w:rsid w:val="008A1B73"/>
    <w:rsid w:val="008D5C14"/>
    <w:rsid w:val="00916588"/>
    <w:rsid w:val="00920532"/>
    <w:rsid w:val="0092360A"/>
    <w:rsid w:val="009302F2"/>
    <w:rsid w:val="009447AF"/>
    <w:rsid w:val="00973B09"/>
    <w:rsid w:val="009961EE"/>
    <w:rsid w:val="009C7055"/>
    <w:rsid w:val="00A065AD"/>
    <w:rsid w:val="00A63FF1"/>
    <w:rsid w:val="00A85ED9"/>
    <w:rsid w:val="00AE2531"/>
    <w:rsid w:val="00B13D21"/>
    <w:rsid w:val="00B36347"/>
    <w:rsid w:val="00B7797C"/>
    <w:rsid w:val="00BB2D74"/>
    <w:rsid w:val="00BE151D"/>
    <w:rsid w:val="00C1277D"/>
    <w:rsid w:val="00C53F8D"/>
    <w:rsid w:val="00D4159E"/>
    <w:rsid w:val="00D7636A"/>
    <w:rsid w:val="00DB1FC4"/>
    <w:rsid w:val="00DF08B7"/>
    <w:rsid w:val="00E47441"/>
    <w:rsid w:val="00E534C8"/>
    <w:rsid w:val="00E70112"/>
    <w:rsid w:val="00E86CCB"/>
    <w:rsid w:val="00EA5C1A"/>
    <w:rsid w:val="00ED00E2"/>
    <w:rsid w:val="00EE6C64"/>
    <w:rsid w:val="00EF5EE4"/>
    <w:rsid w:val="00EF7AC6"/>
    <w:rsid w:val="00F301CC"/>
    <w:rsid w:val="00F30A17"/>
    <w:rsid w:val="00F362C3"/>
    <w:rsid w:val="00F64DD3"/>
    <w:rsid w:val="00F73DF2"/>
    <w:rsid w:val="00F740A6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D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ind w:left="720"/>
      <w:jc w:val="both"/>
    </w:pPr>
    <w:rPr>
      <w:b/>
      <w:i/>
      <w:szCs w:val="20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B6585"/>
  </w:style>
  <w:style w:type="paragraph" w:styleId="ab">
    <w:name w:val="Title"/>
    <w:basedOn w:val="a"/>
    <w:link w:val="ac"/>
    <w:uiPriority w:val="99"/>
    <w:qFormat/>
    <w:rsid w:val="00BB2D74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uiPriority w:val="99"/>
    <w:rsid w:val="00BB2D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D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ind w:left="720"/>
      <w:jc w:val="both"/>
    </w:pPr>
    <w:rPr>
      <w:b/>
      <w:i/>
      <w:szCs w:val="20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B6585"/>
  </w:style>
  <w:style w:type="paragraph" w:styleId="ab">
    <w:name w:val="Title"/>
    <w:basedOn w:val="a"/>
    <w:link w:val="ac"/>
    <w:uiPriority w:val="99"/>
    <w:qFormat/>
    <w:rsid w:val="00BB2D74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uiPriority w:val="99"/>
    <w:rsid w:val="00BB2D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1092B-75FE-4D37-9636-52B642806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27</cp:revision>
  <cp:lastPrinted>2021-10-09T12:18:00Z</cp:lastPrinted>
  <dcterms:created xsi:type="dcterms:W3CDTF">2021-10-04T11:07:00Z</dcterms:created>
  <dcterms:modified xsi:type="dcterms:W3CDTF">2024-10-17T11:15:00Z</dcterms:modified>
</cp:coreProperties>
</file>