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отсутствием оснований для заседаний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 в 2021</w:t>
      </w:r>
      <w:r>
        <w:rPr>
          <w:rFonts w:ascii="Times New Roman" w:hAnsi="Times New Roman"/>
          <w:sz w:val="28"/>
          <w:szCs w:val="28"/>
        </w:rPr>
        <w:t xml:space="preserve"> году заседания не проводились.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rPr>
      <w:rFonts w:ascii="Calibri" w:hAnsi="Calibri" w:eastAsia="Times New Roman" w:cs="Times New Roman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Давыдычева Татьяна Николаевна</dc:creator>
  <cp:revision>5</cp:revision>
  <dcterms:created xsi:type="dcterms:W3CDTF">2019-01-29T12:22:00Z</dcterms:created>
  <dcterms:modified xsi:type="dcterms:W3CDTF">2024-10-23T13:23:07Z</dcterms:modified>
</cp:coreProperties>
</file>