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eastAsia="PT Astra Serif" w:cs="PT Astra Serif"/>
          <w:sz w:val="20"/>
          <w:lang w:eastAsia="ru-RU"/>
        </w:rPr>
      </w:pPr>
      <w:r>
        <w:rPr>
          <w:rFonts w:ascii="PT Astra Serif" w:hAnsi="PT Astra Serif" w:eastAsia="PT Astra Serif" w:cs="PT Astra Serif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9525" t="9525" r="9525" b="9525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pt;height:60.0pt;mso-wrap-distance-left:0.0pt;mso-wrap-distance-top:0.0pt;mso-wrap-distance-right:0.0pt;mso-wrap-distance-bottom:0.0pt;" stroked="f" strokeweight="0.75pt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jc w:val="center"/>
        <w:rPr>
          <w:rFonts w:ascii="PT Astra Serif" w:hAnsi="PT Astra Serif" w:eastAsia="PT Astra Serif" w:cs="PT Astra Serif"/>
          <w:sz w:val="6"/>
          <w:szCs w:val="6"/>
        </w:rPr>
      </w:pPr>
      <w:r>
        <w:rPr>
          <w:rFonts w:ascii="PT Astra Serif" w:hAnsi="PT Astra Serif" w:eastAsia="PT Astra Serif" w:cs="PT Astra Serif"/>
          <w:sz w:val="6"/>
          <w:szCs w:val="6"/>
        </w:rPr>
      </w:r>
      <w:r/>
    </w:p>
    <w:p>
      <w:pPr>
        <w:jc w:val="center"/>
        <w:rPr>
          <w:rFonts w:ascii="PT Astra Serif" w:hAnsi="PT Astra Serif" w:eastAsia="PT Astra Serif" w:cs="PT Astra Serif"/>
          <w:b/>
        </w:rPr>
      </w:pP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МИНИСТЕРСТВО ФИНАНСОВ </w:t>
      </w:r>
      <w:r>
        <w:rPr>
          <w:rFonts w:ascii="PT Astra Serif" w:hAnsi="PT Astra Serif" w:eastAsia="PT Astra Serif" w:cs="PT Astra Serif"/>
          <w:b/>
          <w:sz w:val="30"/>
          <w:szCs w:val="30"/>
        </w:rPr>
        <w:t xml:space="preserve">САРАТОВСКОЙ ОБЛАСТИ</w:t>
      </w:r>
      <w:r/>
    </w:p>
    <w:p>
      <w:pPr>
        <w:pStyle w:val="875"/>
        <w:jc w:val="center"/>
        <w:spacing w:line="288" w:lineRule="auto"/>
        <w:rPr>
          <w:rFonts w:ascii="PT Astra Serif" w:hAnsi="PT Astra Serif" w:eastAsia="PT Astra Serif" w:cs="PT Astra Serif"/>
          <w:b/>
          <w:sz w:val="12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pt;mso-wrap-distance-top:0.0pt;mso-wrap-distance-right:9.0pt;mso-wrap-distance-bottom:0.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eastAsia="PT Astra Serif" w:cs="PT Astra Serif"/>
          <w:b/>
          <w:spacing w:val="14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pt;mso-wrap-distance-top:0.0pt;mso-wrap-distance-right:9.0pt;mso-wrap-distance-bottom:0.0pt;flip:y;visibility:visible;" from="0.0pt,4.0pt" to="465.4pt,4.2pt" filled="f" strokecolor="#000000" strokeweight="2.50pt"/>
            </w:pict>
          </mc:Fallback>
        </mc:AlternateContent>
      </w:r>
      <w:r/>
    </w:p>
    <w:p>
      <w:pPr>
        <w:pStyle w:val="875"/>
        <w:rPr>
          <w:rFonts w:ascii="PT Astra Serif" w:hAnsi="PT Astra Serif" w:eastAsia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/>
    </w:p>
    <w:p>
      <w:pPr>
        <w:pStyle w:val="875"/>
        <w:jc w:val="center"/>
        <w:rPr>
          <w:rFonts w:ascii="PT Astra Serif" w:hAnsi="PT Astra Serif" w:eastAsia="PT Astra Serif" w:cs="PT Astra Serif"/>
          <w:b/>
          <w:sz w:val="30"/>
        </w:rPr>
      </w:pPr>
      <w:r>
        <w:rPr>
          <w:rFonts w:ascii="PT Astra Serif" w:hAnsi="PT Astra Serif" w:eastAsia="PT Astra Serif" w:cs="PT Astra Serif"/>
          <w:b/>
          <w:sz w:val="30"/>
        </w:rPr>
        <w:t xml:space="preserve">П</w:t>
      </w:r>
      <w:r>
        <w:rPr>
          <w:rFonts w:ascii="PT Astra Serif" w:hAnsi="PT Astra Serif" w:eastAsia="PT Astra Serif" w:cs="PT Astra Serif"/>
          <w:b/>
          <w:sz w:val="30"/>
        </w:rPr>
        <w:t xml:space="preserve"> Р И К А З</w:t>
      </w:r>
      <w:r/>
    </w:p>
    <w:p>
      <w:pPr>
        <w:pStyle w:val="875"/>
        <w:jc w:val="center"/>
        <w:rPr>
          <w:rFonts w:ascii="PT Astra Serif" w:hAnsi="PT Astra Serif" w:eastAsia="PT Astra Serif" w:cs="PT Astra Serif"/>
          <w:b/>
          <w:szCs w:val="20"/>
        </w:rPr>
      </w:pPr>
      <w:r>
        <w:rPr>
          <w:rFonts w:ascii="PT Astra Serif" w:hAnsi="PT Astra Serif" w:eastAsia="PT Astra Serif" w:cs="PT Astra Serif"/>
          <w:b/>
          <w:szCs w:val="20"/>
        </w:rPr>
      </w:r>
      <w:r/>
    </w:p>
    <w:p>
      <w:pPr>
        <w:pStyle w:val="875"/>
        <w:jc w:val="center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          от ___________ № ________________</w:t>
      </w:r>
      <w:r>
        <w:rPr>
          <w:rFonts w:ascii="PT Astra Serif" w:hAnsi="PT Astra Serif" w:eastAsia="PT Astra Serif" w:cs="PT Astra Serif"/>
          <w:color w:val="ffffff"/>
          <w:sz w:val="28"/>
          <w:szCs w:val="28"/>
        </w:rPr>
        <w:t xml:space="preserve">________</w:t>
      </w:r>
      <w:r/>
    </w:p>
    <w:p>
      <w:pPr>
        <w:pStyle w:val="875"/>
        <w:jc w:val="center"/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</w:r>
      <w:r/>
    </w:p>
    <w:p>
      <w:pPr>
        <w:pStyle w:val="875"/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  <w:t xml:space="preserve">                                                                            г. Саратов</w:t>
      </w:r>
      <w:r/>
    </w:p>
    <w:p>
      <w:pPr>
        <w:pStyle w:val="875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 w:eastAsia="PT Astra Serif" w:cs="PT Astra Serif"/>
          <w:color w:val="000000"/>
          <w:sz w:val="16"/>
        </w:rPr>
      </w:pPr>
      <w:r>
        <w:rPr>
          <w:rFonts w:ascii="PT Astra Serif" w:hAnsi="PT Astra Serif" w:eastAsia="PT Astra Serif" w:cs="PT Astra Serif"/>
          <w:color w:val="000000"/>
          <w:sz w:val="16"/>
        </w:rPr>
      </w:r>
      <w:r/>
    </w:p>
    <w:p>
      <w:pPr>
        <w:pStyle w:val="875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 w:eastAsia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</w:r>
      <w:r/>
    </w:p>
    <w:p>
      <w:pPr>
        <w:shd w:val="clear" w:color="auto" w:fill="ffffff"/>
        <w:rPr>
          <w:rFonts w:ascii="PT Astra Serif" w:hAnsi="PT Astra Serif" w:eastAsia="PT Astra Serif" w:cs="PT Astra Serif"/>
          <w:color w:val="000000"/>
        </w:rPr>
      </w:pPr>
      <w:r>
        <w:rPr>
          <w:rFonts w:ascii="PT Astra Serif" w:hAnsi="PT Astra Serif" w:eastAsia="PT Astra Serif" w:cs="PT Astra Serif"/>
          <w:b/>
          <w:bCs/>
          <w:color w:val="000000"/>
          <w:spacing w:val="-1"/>
        </w:rPr>
        <w:t xml:space="preserve">О внесении изменения </w:t>
      </w:r>
      <w:r/>
    </w:p>
    <w:p>
      <w:pPr>
        <w:shd w:val="clear" w:color="auto" w:fill="ffffff"/>
        <w:rPr>
          <w:rFonts w:ascii="PT Astra Serif" w:hAnsi="PT Astra Serif" w:eastAsia="PT Astra Serif" w:cs="PT Astra Serif"/>
          <w:color w:val="000000"/>
        </w:rPr>
      </w:pPr>
      <w:r>
        <w:rPr>
          <w:rFonts w:ascii="PT Astra Serif" w:hAnsi="PT Astra Serif" w:eastAsia="PT Astra Serif" w:cs="PT Astra Serif"/>
          <w:b/>
          <w:bCs/>
          <w:color w:val="000000"/>
          <w:spacing w:val="-1"/>
        </w:rPr>
        <w:t xml:space="preserve">в приказ министерства финансов </w:t>
      </w:r>
      <w:r/>
    </w:p>
    <w:p>
      <w:pPr>
        <w:shd w:val="clear" w:color="auto" w:fill="ffffff"/>
        <w:rPr>
          <w:rFonts w:ascii="PT Astra Serif" w:hAnsi="PT Astra Serif" w:eastAsia="PT Astra Serif" w:cs="PT Astra Serif"/>
          <w:color w:val="000000"/>
        </w:rPr>
      </w:pPr>
      <w:r>
        <w:rPr>
          <w:rFonts w:ascii="PT Astra Serif" w:hAnsi="PT Astra Serif" w:eastAsia="PT Astra Serif" w:cs="PT Astra Serif"/>
          <w:b/>
          <w:bCs/>
          <w:color w:val="000000"/>
          <w:spacing w:val="-1"/>
        </w:rPr>
        <w:t xml:space="preserve">Саратовской области </w:t>
      </w:r>
      <w:r/>
    </w:p>
    <w:p>
      <w:pPr>
        <w:shd w:val="clear" w:color="auto" w:fill="ffffff"/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  <w:b/>
          <w:bCs/>
          <w:color w:val="000000"/>
          <w:spacing w:val="-1"/>
        </w:rPr>
        <w:t xml:space="preserve">от 9 сентября 2016 года № 347</w:t>
      </w:r>
      <w:r/>
    </w:p>
    <w:p>
      <w:pPr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</w:r>
      <w:r/>
    </w:p>
    <w:p>
      <w:pPr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</w:r>
      <w:r/>
    </w:p>
    <w:p>
      <w:pPr>
        <w:ind w:firstLine="709"/>
        <w:shd w:val="clear" w:color="auto" w:fill="ffffff"/>
        <w:rPr>
          <w:rFonts w:ascii="PT Astra Serif" w:hAnsi="PT Astra Serif" w:cs="PT Astra Serif"/>
        </w:rPr>
      </w:pPr>
      <w:r>
        <w:rPr>
          <w:rFonts w:ascii="PT Astra Serif" w:hAnsi="PT Astra Serif" w:cs="PT Astra Serif" w:eastAsiaTheme="minorEastAsia"/>
        </w:rPr>
        <w:t xml:space="preserve">В соответствии с Федеральным законом от 13 июля 2024 года</w:t>
      </w:r>
      <w:r>
        <w:rPr>
          <w:rFonts w:ascii="PT Astra Serif" w:hAnsi="PT Astra Serif" w:cs="PT Astra Serif" w:eastAsiaTheme="minorEastAsia"/>
        </w:rPr>
        <w:br/>
        <w:t xml:space="preserve">№ 177-ФЗ</w:t>
      </w:r>
      <w:r>
        <w:rPr>
          <w:rFonts w:ascii="PT Astra Serif" w:hAnsi="PT Astra Serif" w:cs="PT Astra Serif" w:eastAsiaTheme="minorEastAsia"/>
        </w:rPr>
        <w:t xml:space="preserve">«О</w:t>
      </w:r>
      <w:r>
        <w:rPr>
          <w:rFonts w:ascii="PT Astra Serif" w:hAnsi="PT Astra Serif" w:cs="PT Astra Serif" w:eastAsiaTheme="minorEastAsia"/>
        </w:rPr>
        <w:t xml:space="preserve"> внесении изменений в Бюджетный кодекс Российской Федерации и отдельные законодательные акты Российской</w:t>
      </w:r>
      <w:r>
        <w:rPr>
          <w:rFonts w:ascii="PT Astra Serif" w:hAnsi="PT Astra Serif" w:cs="PT Astra Serif" w:eastAsiaTheme="minorEastAsia"/>
        </w:rPr>
        <w:t xml:space="preserve"> Федерации» и на основании Положения о министерстве финансов Саратовской области, утвержденного постановлением Правительства Саратовской области от</w:t>
      </w:r>
      <w:r>
        <w:rPr>
          <w:rFonts w:ascii="PT Astra Serif" w:hAnsi="PT Astra Serif" w:cs="PT Astra Serif" w:eastAsiaTheme="minorEastAsia"/>
        </w:rPr>
        <w:br/>
        <w:t xml:space="preserve">11 октября 2013 года № 544-П,</w:t>
      </w:r>
      <w:r/>
    </w:p>
    <w:p>
      <w:pPr>
        <w:ind w:firstLine="709"/>
        <w:shd w:val="clear" w:color="auto" w:fill="ffffff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/>
    </w:p>
    <w:p>
      <w:pPr>
        <w:ind w:firstLine="709"/>
        <w:shd w:val="clear" w:color="auto" w:fill="ffffff"/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cs="PT Astra Serif" w:eastAsiaTheme="minorEastAsia"/>
          <w:b/>
          <w:color w:val="000000"/>
        </w:rPr>
        <w:t xml:space="preserve">ПРИКАЗЫВАЮ:</w:t>
      </w:r>
      <w:r/>
    </w:p>
    <w:p>
      <w:pPr>
        <w:ind w:firstLine="709"/>
        <w:shd w:val="clear" w:color="auto" w:fill="ffffff"/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cs="PT Astra Serif"/>
          <w:color w:val="000000"/>
        </w:rPr>
      </w:r>
      <w:r/>
    </w:p>
    <w:p>
      <w:pPr>
        <w:pStyle w:val="717"/>
        <w:numPr>
          <w:ilvl w:val="0"/>
          <w:numId w:val="1"/>
        </w:num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В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нести в приказ министерства финансов Саратовской области от 9 сентября 2016 года № 347 «Об утверждении порядка принятия решения о признании безнадежной к взысканию задолженности по платежам в областной бюджет, в отношении которых министерство финансов Сара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товской области осуществляет бюджетные полномочия главного администратора доходов областного бюджета» (далее - Приказ) следующие изменения:</w:t>
      </w:r>
      <w:r/>
    </w:p>
    <w:p>
      <w:pPr>
        <w:ind w:left="720"/>
        <w:shd w:val="clear" w:color="auto" w:fill="ffffff"/>
        <w:tabs>
          <w:tab w:val="left" w:pos="1296" w:leader="none"/>
        </w:tabs>
        <w:rPr>
          <w:rFonts w:ascii="PT Astra Serif" w:hAnsi="PT Astra Serif" w:cs="PT Astra Serif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в пункте 2 приложения к Приказу: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подпункт «б» изложить в следующей редакции: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«б) завершения процедуры банкротства гр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ажданина, индивидуального предпринимателя в соответствии с Федеральным законом от 26 октября 2002 года № 127-ФЗ «О несостоятельности (банкротстве)» - в части задолженности по платежам в бюджет, от исполнения 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обязанности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 по уплате которой он освобожден в со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ответствии с указанным Федеральным законом;»;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подпункт «в» признать утратившим силу;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подпункты «д» и «е» изложить в следующей редакции: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«д) применения актов об амнистии или помилования в отношении осужденных к наказанию в виде штрафа или принятия судом реш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ения, в соответствии с которым администратор доходов бюджета утрачивает 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возможность взыскания задолженности по платежам в областной бюджет, в том числе в связи с истечением установленного срока ее взыскания;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е) вынесения судебным приставом-исполнителем пос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2 октября 2007 года № 229-ФЗ «Об исполнительном производстве», ес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 делу о банкротстве, прошло более пяти ле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т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;»</w:t>
      </w:r>
      <w:r>
        <w:rPr>
          <w:rFonts w:ascii="PT Astra Serif" w:hAnsi="PT Astra Serif" w:cs="PT Astra Serif" w:eastAsiaTheme="minorEastAsia"/>
          <w:color w:val="000000"/>
          <w:spacing w:val="-6"/>
        </w:rPr>
        <w:t xml:space="preserve">;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после подпункта «е» дополнить новым подпунктом «ж» следующего содержания: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«ж) </w:t>
      </w:r>
      <w:r>
        <w:rPr>
          <w:rFonts w:ascii="PT Astra Serif" w:hAnsi="PT Astra Serif" w:cs="PT Astra Serif"/>
          <w:color w:val="000000"/>
          <w:spacing w:val="-6"/>
        </w:rPr>
        <w:t xml:space="preserve">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</w:t>
      </w:r>
      <w:r>
        <w:rPr>
          <w:rFonts w:ascii="PT Astra Serif" w:hAnsi="PT Astra Serif" w:cs="PT Astra Serif"/>
          <w:color w:val="000000"/>
          <w:spacing w:val="-6"/>
        </w:rPr>
        <w:t xml:space="preserve">возмещения судебных расходов на проведение процедур, применяемых в деле о банкротстве</w:t>
      </w:r>
      <w:r>
        <w:rPr>
          <w:rFonts w:ascii="PT Astra Serif" w:hAnsi="PT Astra Serif" w:cs="PT Astra Serif"/>
          <w:color w:val="000000"/>
          <w:spacing w:val="-6"/>
        </w:rPr>
        <w:t xml:space="preserve">;»</w:t>
      </w:r>
      <w:r>
        <w:rPr>
          <w:rFonts w:ascii="PT Astra Serif" w:hAnsi="PT Astra Serif" w:cs="PT Astra Serif"/>
          <w:color w:val="000000"/>
          <w:spacing w:val="-6"/>
        </w:rPr>
        <w:t xml:space="preserve">;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/>
          <w:color w:val="000000"/>
          <w:spacing w:val="-6"/>
        </w:rPr>
      </w:pPr>
      <w:r>
        <w:rPr>
          <w:rFonts w:ascii="PT Astra Serif" w:hAnsi="PT Astra Serif" w:cs="PT Astra Serif"/>
          <w:color w:val="000000"/>
          <w:spacing w:val="-6"/>
        </w:rPr>
        <w:t xml:space="preserve">подпункт «ж» считать подпунктом «з»;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/>
          <w:color w:val="000000"/>
          <w:spacing w:val="-6"/>
        </w:rPr>
      </w:pPr>
      <w:r>
        <w:rPr>
          <w:rFonts w:ascii="PT Astra Serif" w:hAnsi="PT Astra Serif" w:cs="PT Astra Serif"/>
          <w:color w:val="000000"/>
          <w:spacing w:val="-6"/>
        </w:rPr>
        <w:t xml:space="preserve">2) пункт 5 приложения к Приказу изложить в следующей редакции: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 w:eastAsiaTheme="minorEastAsia"/>
          <w:color w:val="000000"/>
          <w:spacing w:val="-6"/>
        </w:rPr>
      </w:pPr>
      <w:r>
        <w:rPr>
          <w:rFonts w:ascii="PT Astra Serif" w:hAnsi="PT Astra Serif" w:cs="PT Astra Serif"/>
          <w:color w:val="000000"/>
          <w:spacing w:val="-6"/>
        </w:rPr>
        <w:t xml:space="preserve">«5. Документы, предусмотренные пунктом 4 настоящего Порядка, рассматриваются постоянно действующей комиссией Министерства по инвентаризации имущества, финансовых активов, обязательств, по поступлению и выбытию активов (далее – Комиссия).</w:t>
      </w:r>
      <w:bookmarkStart w:id="0" w:name="_GoBack"/>
      <w:r/>
      <w:bookmarkEnd w:id="0"/>
      <w:r>
        <w:rPr>
          <w:rFonts w:ascii="PT Astra Serif" w:hAnsi="PT Astra Serif" w:cs="PT Astra Serif"/>
          <w:color w:val="000000"/>
          <w:spacing w:val="-6"/>
        </w:rPr>
        <w:t xml:space="preserve">». 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/>
          <w:color w:val="000000"/>
          <w:spacing w:val="-6"/>
        </w:rPr>
      </w:pPr>
      <w:r>
        <w:rPr>
          <w:rFonts w:ascii="PT Astra Serif" w:hAnsi="PT Astra Serif" w:cs="PT Astra Serif" w:eastAsiaTheme="minorEastAsia"/>
          <w:color w:val="000000"/>
          <w:spacing w:val="-6"/>
        </w:rPr>
        <w:t xml:space="preserve">2. </w:t>
      </w:r>
      <w:r>
        <w:rPr>
          <w:rFonts w:ascii="PT Astra Serif" w:hAnsi="PT Astra Serif" w:cs="PT Astra Serif" w:eastAsiaTheme="minorEastAsia"/>
          <w:color w:val="000000"/>
          <w:spacing w:val="3"/>
        </w:rPr>
        <w:t xml:space="preserve">Начальнику организационно-хозяйственного отдела </w:t>
      </w:r>
      <w:r>
        <w:rPr>
          <w:rFonts w:ascii="PT Astra Serif" w:hAnsi="PT Astra Serif" w:cs="PT Astra Serif" w:eastAsiaTheme="minorEastAsia"/>
          <w:color w:val="000000"/>
          <w:spacing w:val="3"/>
        </w:rPr>
        <w:t xml:space="preserve">управления информатизации министерства финансов области Львовой</w:t>
      </w:r>
      <w:r>
        <w:rPr>
          <w:rFonts w:ascii="PT Astra Serif" w:hAnsi="PT Astra Serif" w:cs="PT Astra Serif" w:eastAsiaTheme="minorEastAsia"/>
          <w:color w:val="000000"/>
          <w:spacing w:val="3"/>
        </w:rPr>
        <w:t xml:space="preserve"> А.А. не позднее</w:t>
      </w:r>
      <w:r>
        <w:rPr>
          <w:rFonts w:ascii="PT Astra Serif" w:hAnsi="PT Astra Serif" w:cs="PT Astra Serif" w:eastAsiaTheme="minorEastAsia"/>
          <w:color w:val="000000"/>
          <w:spacing w:val="3"/>
        </w:rPr>
        <w:t xml:space="preserve"> одного рабочего дня после подписания настоящего приказа обеспечить его направление в министерство информации и массовых коммуникаций области для официального опубликования.</w:t>
      </w:r>
      <w:r/>
    </w:p>
    <w:p>
      <w:pPr>
        <w:pStyle w:val="717"/>
        <w:ind w:left="0" w:firstLine="709"/>
        <w:shd w:val="clear" w:color="auto" w:fill="ffffff"/>
        <w:tabs>
          <w:tab w:val="left" w:pos="1296" w:leader="none"/>
        </w:tabs>
      </w:pPr>
      <w:r>
        <w:rPr>
          <w:rFonts w:ascii="PT Astra Serif" w:hAnsi="PT Astra Serif" w:cs="PT Astra Serif" w:eastAsiaTheme="minorEastAsia"/>
          <w:color w:val="000000"/>
          <w:spacing w:val="3"/>
        </w:rPr>
        <w:t xml:space="preserve">3. </w:t>
      </w:r>
      <w:r>
        <w:rPr>
          <w:rFonts w:ascii="PT Astra Serif" w:hAnsi="PT Astra Serif" w:cs="PT Astra Serif" w:eastAsiaTheme="minorEastAsia"/>
          <w:color w:val="000000"/>
          <w:spacing w:val="3"/>
        </w:rPr>
        <w:t xml:space="preserve">Контроль за</w:t>
      </w:r>
      <w:r>
        <w:rPr>
          <w:rFonts w:ascii="PT Astra Serif" w:hAnsi="PT Astra Serif" w:cs="PT Astra Serif" w:eastAsiaTheme="minorEastAsia"/>
          <w:color w:val="000000"/>
          <w:spacing w:val="3"/>
        </w:rPr>
        <w:t xml:space="preserve"> исполнением настоящего приказа возложить на заместителя министра Ме</w:t>
      </w:r>
      <w:r>
        <w:rPr>
          <w:rFonts w:ascii="PT Astra Serif" w:hAnsi="PT Astra Serif" w:cs="PT Astra Serif" w:eastAsiaTheme="minorEastAsia"/>
          <w:color w:val="000000"/>
          <w:spacing w:val="3"/>
        </w:rPr>
        <w:t xml:space="preserve">ркулова И.В.</w:t>
      </w:r>
      <w:r/>
    </w:p>
    <w:p>
      <w:pPr>
        <w:ind w:firstLine="720"/>
        <w:shd w:val="clear" w:color="auto" w:fill="ffffff"/>
        <w:tabs>
          <w:tab w:val="left" w:pos="1296" w:leader="none"/>
        </w:tabs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cs="PT Astra Serif" w:eastAsiaTheme="minorEastAsia"/>
          <w:color w:val="000000"/>
          <w:spacing w:val="3"/>
        </w:rPr>
        <w:t xml:space="preserve">4. Настоящий приказ вступает в силу со дня официального опубликования.</w:t>
      </w:r>
      <w:r/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/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/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</w:r>
      <w:r/>
    </w:p>
    <w:p>
      <w:pPr>
        <w:jc w:val="left"/>
        <w:rPr>
          <w:rFonts w:ascii="PT Astra Serif" w:hAnsi="PT Astra Serif" w:cs="PT Astra Serif"/>
        </w:rPr>
      </w:pPr>
      <w:r>
        <w:rPr>
          <w:rFonts w:ascii="PT Astra Serif" w:hAnsi="PT Astra Serif" w:cs="PT Astra Serif" w:eastAsiaTheme="minorEastAsia"/>
          <w:b/>
        </w:rPr>
        <w:t xml:space="preserve">Министр                                                                   </w:t>
      </w:r>
      <w:r>
        <w:rPr>
          <w:rFonts w:ascii="PT Astra Serif" w:hAnsi="PT Astra Serif" w:cs="PT Astra Serif" w:eastAsiaTheme="minorEastAsia"/>
          <w:b/>
        </w:rPr>
        <w:tab/>
      </w:r>
      <w:r>
        <w:rPr>
          <w:rFonts w:ascii="PT Astra Serif" w:hAnsi="PT Astra Serif" w:cs="PT Astra Serif" w:eastAsiaTheme="minorEastAsia"/>
          <w:b/>
        </w:rPr>
        <w:tab/>
        <w:t xml:space="preserve">     И.С. </w:t>
      </w:r>
      <w:r>
        <w:rPr>
          <w:rFonts w:ascii="PT Astra Serif" w:hAnsi="PT Astra Serif" w:cs="PT Astra Serif" w:eastAsiaTheme="minorEastAsia"/>
          <w:b/>
        </w:rPr>
        <w:t xml:space="preserve">Бегинина</w:t>
      </w:r>
      <w:r/>
    </w:p>
    <w:p>
      <w:pPr>
        <w:rPr>
          <w:rFonts w:ascii="PT Astra Serif" w:hAnsi="PT Astra Serif" w:eastAsia="PT Astra Serif" w:cs="PT Astra Serif"/>
          <w:b/>
          <w:color w:val="000000"/>
        </w:rPr>
      </w:pPr>
      <w:r>
        <w:rPr>
          <w:rFonts w:ascii="PT Astra Serif" w:hAnsi="PT Astra Serif" w:eastAsia="PT Astra Serif" w:cs="PT Astra Serif"/>
          <w:b/>
          <w:color w:val="000000"/>
        </w:rPr>
      </w:r>
      <w:r/>
    </w:p>
    <w:p>
      <w:pPr>
        <w:jc w:val="left"/>
        <w:spacing w:after="200" w:line="276" w:lineRule="auto"/>
        <w:rPr>
          <w:rFonts w:ascii="PT Astra Serif" w:hAnsi="PT Astra Serif" w:eastAsia="PT Astra Serif" w:cs="PT Astra Serif"/>
          <w:b/>
          <w:color w:val="000000"/>
        </w:rPr>
      </w:pPr>
      <w:r/>
      <w:r/>
      <w:r>
        <w:rPr>
          <w:rFonts w:ascii="PT Astra Serif" w:hAnsi="PT Astra Serif" w:eastAsia="PT Astra Serif" w:cs="PT Astra Serif"/>
          <w:b/>
          <w:color w:val="000000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797" w:right="850" w:bottom="1134" w:left="1701" w:header="43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jc w:val="center"/>
      <w:rPr>
        <w:rFonts w:ascii="PT Astra Serif" w:hAnsi="PT Astra Serif" w:eastAsia="PT Astra Serif" w:cs="PT Astra Serif"/>
        <w:sz w:val="28"/>
      </w:rPr>
    </w:pPr>
    <w:r>
      <w:rPr>
        <w:rFonts w:ascii="PT Astra Serif" w:hAnsi="PT Astra Serif" w:eastAsia="PT Astra Serif" w:cs="PT Astra Serif"/>
        <w:sz w:val="28"/>
      </w:rPr>
    </w:r>
    <w:r/>
  </w:p>
  <w:p>
    <w:pPr>
      <w:pStyle w:val="87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egacy w:legacy="1" w:legacyIndent="476" w:legacySpace="0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>
      <w:start w:val="6"/>
      <w:numFmt w:val="decimal"/>
      <w:isLgl/>
      <w:suff w:val="tab"/>
      <w:lvlText w:val="%1.%2."/>
      <w:lvlJc w:val="left"/>
      <w:pPr>
        <w:ind w:left="1472" w:hanging="720"/>
      </w:pPr>
      <w:rPr>
        <w:rFonts w:hint="default" w:eastAsia="Times New Roman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2224" w:hanging="720"/>
      </w:pPr>
      <w:rPr>
        <w:rFonts w:hint="default" w:eastAsia="Times New Roman"/>
        <w:color w:val="000000"/>
      </w:rPr>
    </w:lvl>
    <w:lvl w:ilvl="3">
      <w:start w:val="1"/>
      <w:numFmt w:val="decimal"/>
      <w:isLgl/>
      <w:suff w:val="tab"/>
      <w:lvlText w:val="%1.%2.%3.%4."/>
      <w:lvlJc w:val="left"/>
      <w:pPr>
        <w:ind w:left="3336" w:hanging="1080"/>
      </w:pPr>
      <w:rPr>
        <w:rFonts w:hint="default" w:eastAsia="Times New Roman"/>
        <w:color w:val="000000"/>
      </w:rPr>
    </w:lvl>
    <w:lvl w:ilvl="4">
      <w:start w:val="1"/>
      <w:numFmt w:val="decimal"/>
      <w:isLgl/>
      <w:suff w:val="tab"/>
      <w:lvlText w:val="%1.%2.%3.%4.%5."/>
      <w:lvlJc w:val="left"/>
      <w:pPr>
        <w:ind w:left="4088" w:hanging="1080"/>
      </w:pPr>
      <w:rPr>
        <w:rFonts w:hint="default" w:eastAsia="Times New Roman"/>
        <w:color w:val="000000"/>
      </w:rPr>
    </w:lvl>
    <w:lvl w:ilvl="5">
      <w:start w:val="1"/>
      <w:numFmt w:val="decimal"/>
      <w:isLgl/>
      <w:suff w:val="tab"/>
      <w:lvlText w:val="%1.%2.%3.%4.%5.%6."/>
      <w:lvlJc w:val="left"/>
      <w:pPr>
        <w:ind w:left="5200" w:hanging="1440"/>
      </w:pPr>
      <w:rPr>
        <w:rFonts w:hint="default" w:eastAsia="Times New Roman"/>
        <w:color w:val="000000"/>
      </w:rPr>
    </w:lvl>
    <w:lvl w:ilvl="6">
      <w:start w:val="1"/>
      <w:numFmt w:val="decimal"/>
      <w:isLgl/>
      <w:suff w:val="tab"/>
      <w:lvlText w:val="%1.%2.%3.%4.%5.%6.%7."/>
      <w:lvlJc w:val="left"/>
      <w:pPr>
        <w:ind w:left="5952" w:hanging="1440"/>
      </w:pPr>
      <w:rPr>
        <w:rFonts w:hint="default" w:eastAsia="Times New Roman"/>
        <w:color w:val="00000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064" w:hanging="1800"/>
      </w:pPr>
      <w:rPr>
        <w:rFonts w:hint="default" w:eastAsia="Times New Roman"/>
        <w:color w:val="00000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816" w:hanging="1800"/>
      </w:pPr>
      <w:rPr>
        <w:rFonts w:hint="default" w:eastAsia="Times New Roman"/>
        <w:color w:val="00000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egacy w:legacy="1" w:legacyIndent="476" w:legacySpace="0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>
      <w:start w:val="6"/>
      <w:numFmt w:val="decimal"/>
      <w:isLgl/>
      <w:suff w:val="tab"/>
      <w:lvlText w:val="%1.%2."/>
      <w:lvlJc w:val="left"/>
      <w:pPr>
        <w:ind w:left="1472" w:hanging="720"/>
      </w:pPr>
      <w:rPr>
        <w:rFonts w:hint="default" w:eastAsia="Times New Roman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2224" w:hanging="720"/>
      </w:pPr>
      <w:rPr>
        <w:rFonts w:hint="default" w:eastAsia="Times New Roman"/>
        <w:color w:val="000000"/>
      </w:rPr>
    </w:lvl>
    <w:lvl w:ilvl="3">
      <w:start w:val="1"/>
      <w:numFmt w:val="decimal"/>
      <w:isLgl/>
      <w:suff w:val="tab"/>
      <w:lvlText w:val="%1.%2.%3.%4."/>
      <w:lvlJc w:val="left"/>
      <w:pPr>
        <w:ind w:left="3336" w:hanging="1080"/>
      </w:pPr>
      <w:rPr>
        <w:rFonts w:hint="default" w:eastAsia="Times New Roman"/>
        <w:color w:val="000000"/>
      </w:rPr>
    </w:lvl>
    <w:lvl w:ilvl="4">
      <w:start w:val="1"/>
      <w:numFmt w:val="decimal"/>
      <w:isLgl/>
      <w:suff w:val="tab"/>
      <w:lvlText w:val="%1.%2.%3.%4.%5."/>
      <w:lvlJc w:val="left"/>
      <w:pPr>
        <w:ind w:left="4088" w:hanging="1080"/>
      </w:pPr>
      <w:rPr>
        <w:rFonts w:hint="default" w:eastAsia="Times New Roman"/>
        <w:color w:val="000000"/>
      </w:rPr>
    </w:lvl>
    <w:lvl w:ilvl="5">
      <w:start w:val="1"/>
      <w:numFmt w:val="decimal"/>
      <w:isLgl/>
      <w:suff w:val="tab"/>
      <w:lvlText w:val="%1.%2.%3.%4.%5.%6."/>
      <w:lvlJc w:val="left"/>
      <w:pPr>
        <w:ind w:left="5200" w:hanging="1440"/>
      </w:pPr>
      <w:rPr>
        <w:rFonts w:hint="default" w:eastAsia="Times New Roman"/>
        <w:color w:val="000000"/>
      </w:rPr>
    </w:lvl>
    <w:lvl w:ilvl="6">
      <w:start w:val="1"/>
      <w:numFmt w:val="decimal"/>
      <w:isLgl/>
      <w:suff w:val="tab"/>
      <w:lvlText w:val="%1.%2.%3.%4.%5.%6.%7."/>
      <w:lvlJc w:val="left"/>
      <w:pPr>
        <w:ind w:left="5952" w:hanging="1440"/>
      </w:pPr>
      <w:rPr>
        <w:rFonts w:hint="default" w:eastAsia="Times New Roman"/>
        <w:color w:val="00000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064" w:hanging="1800"/>
      </w:pPr>
      <w:rPr>
        <w:rFonts w:hint="default" w:eastAsia="Times New Roman"/>
        <w:color w:val="00000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816" w:hanging="1800"/>
      </w:pPr>
      <w:rPr>
        <w:rFonts w:hint="default" w:eastAsia="Times New Roman"/>
        <w:color w:val="00000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egacy w:legacy="1" w:legacyIndent="476" w:legacySpace="0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>
      <w:start w:val="6"/>
      <w:numFmt w:val="decimal"/>
      <w:isLgl/>
      <w:suff w:val="tab"/>
      <w:lvlText w:val="%1.%2."/>
      <w:lvlJc w:val="left"/>
      <w:pPr>
        <w:ind w:left="1472" w:hanging="720"/>
      </w:pPr>
      <w:rPr>
        <w:rFonts w:hint="default" w:eastAsia="Times New Roman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2224" w:hanging="720"/>
      </w:pPr>
      <w:rPr>
        <w:rFonts w:hint="default" w:eastAsia="Times New Roman"/>
        <w:color w:val="000000"/>
      </w:rPr>
    </w:lvl>
    <w:lvl w:ilvl="3">
      <w:start w:val="1"/>
      <w:numFmt w:val="decimal"/>
      <w:isLgl/>
      <w:suff w:val="tab"/>
      <w:lvlText w:val="%1.%2.%3.%4."/>
      <w:lvlJc w:val="left"/>
      <w:pPr>
        <w:ind w:left="3336" w:hanging="1080"/>
      </w:pPr>
      <w:rPr>
        <w:rFonts w:hint="default" w:eastAsia="Times New Roman"/>
        <w:color w:val="000000"/>
      </w:rPr>
    </w:lvl>
    <w:lvl w:ilvl="4">
      <w:start w:val="1"/>
      <w:numFmt w:val="decimal"/>
      <w:isLgl/>
      <w:suff w:val="tab"/>
      <w:lvlText w:val="%1.%2.%3.%4.%5."/>
      <w:lvlJc w:val="left"/>
      <w:pPr>
        <w:ind w:left="4088" w:hanging="1080"/>
      </w:pPr>
      <w:rPr>
        <w:rFonts w:hint="default" w:eastAsia="Times New Roman"/>
        <w:color w:val="000000"/>
      </w:rPr>
    </w:lvl>
    <w:lvl w:ilvl="5">
      <w:start w:val="1"/>
      <w:numFmt w:val="decimal"/>
      <w:isLgl/>
      <w:suff w:val="tab"/>
      <w:lvlText w:val="%1.%2.%3.%4.%5.%6."/>
      <w:lvlJc w:val="left"/>
      <w:pPr>
        <w:ind w:left="5200" w:hanging="1440"/>
      </w:pPr>
      <w:rPr>
        <w:rFonts w:hint="default" w:eastAsia="Times New Roman"/>
        <w:color w:val="000000"/>
      </w:rPr>
    </w:lvl>
    <w:lvl w:ilvl="6">
      <w:start w:val="1"/>
      <w:numFmt w:val="decimal"/>
      <w:isLgl/>
      <w:suff w:val="tab"/>
      <w:lvlText w:val="%1.%2.%3.%4.%5.%6.%7."/>
      <w:lvlJc w:val="left"/>
      <w:pPr>
        <w:ind w:left="5952" w:hanging="1440"/>
      </w:pPr>
      <w:rPr>
        <w:rFonts w:hint="default" w:eastAsia="Times New Roman"/>
        <w:color w:val="00000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064" w:hanging="1800"/>
      </w:pPr>
      <w:rPr>
        <w:rFonts w:hint="default" w:eastAsia="Times New Roman"/>
        <w:color w:val="00000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816" w:hanging="1800"/>
      </w:pPr>
      <w:rPr>
        <w:rFonts w:hint="default" w:eastAsia="Times New Roman"/>
        <w:color w:val="00000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egacy w:legacy="1" w:legacyIndent="476" w:legacySpace="0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>
      <w:start w:val="6"/>
      <w:numFmt w:val="decimal"/>
      <w:isLgl/>
      <w:suff w:val="tab"/>
      <w:lvlText w:val="%1.%2."/>
      <w:lvlJc w:val="left"/>
      <w:pPr>
        <w:ind w:left="1472" w:hanging="720"/>
      </w:pPr>
      <w:rPr>
        <w:rFonts w:hint="default" w:eastAsia="Times New Roman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2224" w:hanging="720"/>
      </w:pPr>
      <w:rPr>
        <w:rFonts w:hint="default" w:eastAsia="Times New Roman"/>
        <w:color w:val="000000"/>
      </w:rPr>
    </w:lvl>
    <w:lvl w:ilvl="3">
      <w:start w:val="1"/>
      <w:numFmt w:val="decimal"/>
      <w:isLgl/>
      <w:suff w:val="tab"/>
      <w:lvlText w:val="%1.%2.%3.%4."/>
      <w:lvlJc w:val="left"/>
      <w:pPr>
        <w:ind w:left="3336" w:hanging="1080"/>
      </w:pPr>
      <w:rPr>
        <w:rFonts w:hint="default" w:eastAsia="Times New Roman"/>
        <w:color w:val="000000"/>
      </w:rPr>
    </w:lvl>
    <w:lvl w:ilvl="4">
      <w:start w:val="1"/>
      <w:numFmt w:val="decimal"/>
      <w:isLgl/>
      <w:suff w:val="tab"/>
      <w:lvlText w:val="%1.%2.%3.%4.%5."/>
      <w:lvlJc w:val="left"/>
      <w:pPr>
        <w:ind w:left="4088" w:hanging="1080"/>
      </w:pPr>
      <w:rPr>
        <w:rFonts w:hint="default" w:eastAsia="Times New Roman"/>
        <w:color w:val="000000"/>
      </w:rPr>
    </w:lvl>
    <w:lvl w:ilvl="5">
      <w:start w:val="1"/>
      <w:numFmt w:val="decimal"/>
      <w:isLgl/>
      <w:suff w:val="tab"/>
      <w:lvlText w:val="%1.%2.%3.%4.%5.%6."/>
      <w:lvlJc w:val="left"/>
      <w:pPr>
        <w:ind w:left="5200" w:hanging="1440"/>
      </w:pPr>
      <w:rPr>
        <w:rFonts w:hint="default" w:eastAsia="Times New Roman"/>
        <w:color w:val="000000"/>
      </w:rPr>
    </w:lvl>
    <w:lvl w:ilvl="6">
      <w:start w:val="1"/>
      <w:numFmt w:val="decimal"/>
      <w:isLgl/>
      <w:suff w:val="tab"/>
      <w:lvlText w:val="%1.%2.%3.%4.%5.%6.%7."/>
      <w:lvlJc w:val="left"/>
      <w:pPr>
        <w:ind w:left="5952" w:hanging="1440"/>
      </w:pPr>
      <w:rPr>
        <w:rFonts w:hint="default" w:eastAsia="Times New Roman"/>
        <w:color w:val="00000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064" w:hanging="1800"/>
      </w:pPr>
      <w:rPr>
        <w:rFonts w:hint="default" w:eastAsia="Times New Roman"/>
        <w:color w:val="00000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816" w:hanging="1800"/>
      </w:pPr>
      <w:rPr>
        <w:rFonts w:hint="default" w:eastAsia="Times New Roman"/>
        <w:color w:val="00000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egacy w:legacy="1" w:legacyIndent="476" w:legacySpace="0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>
      <w:start w:val="6"/>
      <w:numFmt w:val="decimal"/>
      <w:isLgl/>
      <w:suff w:val="tab"/>
      <w:lvlText w:val="%1.%2."/>
      <w:lvlJc w:val="left"/>
      <w:pPr>
        <w:ind w:left="1472" w:hanging="720"/>
      </w:pPr>
      <w:rPr>
        <w:rFonts w:hint="default" w:eastAsia="Times New Roman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2224" w:hanging="720"/>
      </w:pPr>
      <w:rPr>
        <w:rFonts w:hint="default" w:eastAsia="Times New Roman"/>
        <w:color w:val="000000"/>
      </w:rPr>
    </w:lvl>
    <w:lvl w:ilvl="3">
      <w:start w:val="1"/>
      <w:numFmt w:val="decimal"/>
      <w:isLgl/>
      <w:suff w:val="tab"/>
      <w:lvlText w:val="%1.%2.%3.%4."/>
      <w:lvlJc w:val="left"/>
      <w:pPr>
        <w:ind w:left="3336" w:hanging="1080"/>
      </w:pPr>
      <w:rPr>
        <w:rFonts w:hint="default" w:eastAsia="Times New Roman"/>
        <w:color w:val="000000"/>
      </w:rPr>
    </w:lvl>
    <w:lvl w:ilvl="4">
      <w:start w:val="1"/>
      <w:numFmt w:val="decimal"/>
      <w:isLgl/>
      <w:suff w:val="tab"/>
      <w:lvlText w:val="%1.%2.%3.%4.%5."/>
      <w:lvlJc w:val="left"/>
      <w:pPr>
        <w:ind w:left="4088" w:hanging="1080"/>
      </w:pPr>
      <w:rPr>
        <w:rFonts w:hint="default" w:eastAsia="Times New Roman"/>
        <w:color w:val="000000"/>
      </w:rPr>
    </w:lvl>
    <w:lvl w:ilvl="5">
      <w:start w:val="1"/>
      <w:numFmt w:val="decimal"/>
      <w:isLgl/>
      <w:suff w:val="tab"/>
      <w:lvlText w:val="%1.%2.%3.%4.%5.%6."/>
      <w:lvlJc w:val="left"/>
      <w:pPr>
        <w:ind w:left="5200" w:hanging="1440"/>
      </w:pPr>
      <w:rPr>
        <w:rFonts w:hint="default" w:eastAsia="Times New Roman"/>
        <w:color w:val="000000"/>
      </w:rPr>
    </w:lvl>
    <w:lvl w:ilvl="6">
      <w:start w:val="1"/>
      <w:numFmt w:val="decimal"/>
      <w:isLgl/>
      <w:suff w:val="tab"/>
      <w:lvlText w:val="%1.%2.%3.%4.%5.%6.%7."/>
      <w:lvlJc w:val="left"/>
      <w:pPr>
        <w:ind w:left="5952" w:hanging="1440"/>
      </w:pPr>
      <w:rPr>
        <w:rFonts w:hint="default" w:eastAsia="Times New Roman"/>
        <w:color w:val="00000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064" w:hanging="1800"/>
      </w:pPr>
      <w:rPr>
        <w:rFonts w:hint="default" w:eastAsia="Times New Roman"/>
        <w:color w:val="00000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816" w:hanging="1800"/>
      </w:pPr>
      <w:rPr>
        <w:rFonts w:hint="default" w:eastAsia="Times New Roman"/>
        <w:color w:val="000000"/>
      </w:r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9" w:default="1">
    <w:name w:val="Normal"/>
    <w:qFormat/>
    <w:pPr>
      <w:jc w:val="both"/>
      <w:spacing w:after="0" w:line="240" w:lineRule="auto"/>
    </w:pPr>
    <w:rPr>
      <w:rFonts w:ascii="Times New Roman" w:hAnsi="Times New Roman" w:eastAsia="Calibri" w:cs="Times New Roman"/>
      <w:sz w:val="28"/>
      <w:szCs w:val="28"/>
    </w:rPr>
  </w:style>
  <w:style w:type="paragraph" w:styleId="680">
    <w:name w:val="Heading 1"/>
    <w:basedOn w:val="679"/>
    <w:next w:val="679"/>
    <w:link w:val="7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679"/>
    <w:next w:val="679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7">
    <w:name w:val="Heading 8"/>
    <w:basedOn w:val="679"/>
    <w:next w:val="679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679"/>
    <w:next w:val="679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Heading 1 Char"/>
    <w:basedOn w:val="689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Heading 2 Char"/>
    <w:basedOn w:val="689"/>
    <w:uiPriority w:val="9"/>
    <w:rPr>
      <w:rFonts w:ascii="Arial" w:hAnsi="Arial" w:eastAsia="Arial" w:cs="Arial"/>
      <w:sz w:val="34"/>
    </w:rPr>
  </w:style>
  <w:style w:type="character" w:styleId="694" w:customStyle="1">
    <w:name w:val="Heading 3 Char"/>
    <w:basedOn w:val="689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Heading 4 Char"/>
    <w:basedOn w:val="689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Heading 5 Char"/>
    <w:basedOn w:val="689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Heading 6 Char"/>
    <w:basedOn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Heading 7 Char"/>
    <w:basedOn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Heading 8 Char"/>
    <w:basedOn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Heading 9 Char"/>
    <w:basedOn w:val="689"/>
    <w:uiPriority w:val="9"/>
    <w:rPr>
      <w:rFonts w:ascii="Arial" w:hAnsi="Arial" w:eastAsia="Arial" w:cs="Arial"/>
      <w:i/>
      <w:iCs/>
      <w:sz w:val="21"/>
      <w:szCs w:val="21"/>
    </w:rPr>
  </w:style>
  <w:style w:type="character" w:styleId="701" w:customStyle="1">
    <w:name w:val="Title Char"/>
    <w:basedOn w:val="689"/>
    <w:uiPriority w:val="10"/>
    <w:rPr>
      <w:sz w:val="48"/>
      <w:szCs w:val="48"/>
    </w:rPr>
  </w:style>
  <w:style w:type="character" w:styleId="702" w:customStyle="1">
    <w:name w:val="Subtitle Char"/>
    <w:basedOn w:val="689"/>
    <w:uiPriority w:val="11"/>
    <w:rPr>
      <w:sz w:val="24"/>
      <w:szCs w:val="24"/>
    </w:rPr>
  </w:style>
  <w:style w:type="character" w:styleId="703" w:customStyle="1">
    <w:name w:val="Quote Char"/>
    <w:uiPriority w:val="29"/>
    <w:rPr>
      <w:i/>
    </w:rPr>
  </w:style>
  <w:style w:type="character" w:styleId="704" w:customStyle="1">
    <w:name w:val="Intense Quote Char"/>
    <w:uiPriority w:val="30"/>
    <w:rPr>
      <w:i/>
    </w:rPr>
  </w:style>
  <w:style w:type="character" w:styleId="705" w:customStyle="1">
    <w:name w:val="Caption Char"/>
    <w:uiPriority w:val="99"/>
  </w:style>
  <w:style w:type="character" w:styleId="706" w:customStyle="1">
    <w:name w:val="Footnote Text Char"/>
    <w:uiPriority w:val="99"/>
    <w:rPr>
      <w:sz w:val="18"/>
    </w:rPr>
  </w:style>
  <w:style w:type="character" w:styleId="707" w:customStyle="1">
    <w:name w:val="Endnote Text Char"/>
    <w:uiPriority w:val="99"/>
    <w:rPr>
      <w:sz w:val="20"/>
    </w:rPr>
  </w:style>
  <w:style w:type="character" w:styleId="708" w:customStyle="1">
    <w:name w:val="Заголовок 1 Знак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Заголовок 2 Знак"/>
    <w:basedOn w:val="689"/>
    <w:link w:val="681"/>
    <w:uiPriority w:val="9"/>
    <w:rPr>
      <w:rFonts w:ascii="Arial" w:hAnsi="Arial" w:eastAsia="Arial" w:cs="Arial"/>
      <w:sz w:val="34"/>
    </w:rPr>
  </w:style>
  <w:style w:type="character" w:styleId="710" w:customStyle="1">
    <w:name w:val="Заголовок 3 Знак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Заголовок 4 Знак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Заголовок 5 Знак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Заголовок 6 Знак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Заголовок 7 Знак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Заголовок 8 Знак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Заголовок 9 Знак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List Paragraph"/>
    <w:basedOn w:val="679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after="0" w:line="240" w:lineRule="auto"/>
    </w:pPr>
  </w:style>
  <w:style w:type="paragraph" w:styleId="719">
    <w:name w:val="Title"/>
    <w:basedOn w:val="679"/>
    <w:next w:val="679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 w:customStyle="1">
    <w:name w:val="Название Знак"/>
    <w:basedOn w:val="689"/>
    <w:link w:val="719"/>
    <w:uiPriority w:val="10"/>
    <w:rPr>
      <w:sz w:val="48"/>
      <w:szCs w:val="48"/>
    </w:rPr>
  </w:style>
  <w:style w:type="paragraph" w:styleId="721">
    <w:name w:val="Subtitle"/>
    <w:basedOn w:val="679"/>
    <w:next w:val="679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 w:customStyle="1">
    <w:name w:val="Подзаголовок Знак"/>
    <w:basedOn w:val="689"/>
    <w:link w:val="721"/>
    <w:uiPriority w:val="11"/>
    <w:rPr>
      <w:sz w:val="24"/>
      <w:szCs w:val="24"/>
    </w:rPr>
  </w:style>
  <w:style w:type="paragraph" w:styleId="723">
    <w:name w:val="Quote"/>
    <w:basedOn w:val="679"/>
    <w:next w:val="679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79"/>
    <w:next w:val="679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character" w:styleId="727" w:customStyle="1">
    <w:name w:val="Header Char"/>
    <w:basedOn w:val="689"/>
    <w:uiPriority w:val="99"/>
  </w:style>
  <w:style w:type="paragraph" w:styleId="728">
    <w:name w:val="Footer"/>
    <w:basedOn w:val="679"/>
    <w:link w:val="73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9" w:customStyle="1">
    <w:name w:val="Footer Char"/>
    <w:basedOn w:val="689"/>
    <w:uiPriority w:val="99"/>
  </w:style>
  <w:style w:type="paragraph" w:styleId="730">
    <w:name w:val="Caption"/>
    <w:basedOn w:val="679"/>
    <w:next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1" w:customStyle="1">
    <w:name w:val="Нижний колонтитул Знак"/>
    <w:link w:val="728"/>
    <w:uiPriority w:val="99"/>
  </w:style>
  <w:style w:type="table" w:styleId="732">
    <w:name w:val="Table Grid"/>
    <w:basedOn w:val="6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 w:customStyle="1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 w:customStyle="1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 w:customStyle="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 w:customStyle="1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 w:customStyle="1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2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3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4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5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6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7" w:customStyle="1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5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6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7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8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9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0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1" w:customStyle="1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2" w:customStyle="1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4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5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6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7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8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9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0" w:customStyle="1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9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0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1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2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3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4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5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6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7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8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9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0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1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2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3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4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5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6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7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58">
    <w:name w:val="footnote text"/>
    <w:basedOn w:val="679"/>
    <w:link w:val="859"/>
    <w:uiPriority w:val="99"/>
    <w:semiHidden/>
    <w:unhideWhenUsed/>
    <w:pPr>
      <w:spacing w:after="40"/>
    </w:pPr>
    <w:rPr>
      <w:sz w:val="18"/>
    </w:rPr>
  </w:style>
  <w:style w:type="character" w:styleId="859" w:customStyle="1">
    <w:name w:val="Текст сноски Знак"/>
    <w:link w:val="858"/>
    <w:uiPriority w:val="99"/>
    <w:rPr>
      <w:sz w:val="18"/>
    </w:rPr>
  </w:style>
  <w:style w:type="character" w:styleId="860">
    <w:name w:val="footnote reference"/>
    <w:basedOn w:val="689"/>
    <w:uiPriority w:val="99"/>
    <w:unhideWhenUsed/>
    <w:rPr>
      <w:vertAlign w:val="superscript"/>
    </w:rPr>
  </w:style>
  <w:style w:type="paragraph" w:styleId="861">
    <w:name w:val="endnote text"/>
    <w:basedOn w:val="679"/>
    <w:link w:val="862"/>
    <w:uiPriority w:val="99"/>
    <w:semiHidden/>
    <w:unhideWhenUsed/>
    <w:rPr>
      <w:sz w:val="20"/>
    </w:rPr>
  </w:style>
  <w:style w:type="character" w:styleId="862" w:customStyle="1">
    <w:name w:val="Текст концевой сноски Знак"/>
    <w:link w:val="861"/>
    <w:uiPriority w:val="99"/>
    <w:rPr>
      <w:sz w:val="20"/>
    </w:rPr>
  </w:style>
  <w:style w:type="character" w:styleId="863">
    <w:name w:val="endnote reference"/>
    <w:basedOn w:val="689"/>
    <w:uiPriority w:val="99"/>
    <w:semiHidden/>
    <w:unhideWhenUsed/>
    <w:rPr>
      <w:vertAlign w:val="superscript"/>
    </w:rPr>
  </w:style>
  <w:style w:type="paragraph" w:styleId="864">
    <w:name w:val="toc 1"/>
    <w:basedOn w:val="679"/>
    <w:next w:val="679"/>
    <w:uiPriority w:val="39"/>
    <w:unhideWhenUsed/>
    <w:pPr>
      <w:spacing w:after="57"/>
    </w:pPr>
  </w:style>
  <w:style w:type="paragraph" w:styleId="865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66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67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68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69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70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71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72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679"/>
    <w:next w:val="679"/>
    <w:uiPriority w:val="99"/>
    <w:unhideWhenUsed/>
  </w:style>
  <w:style w:type="paragraph" w:styleId="875">
    <w:name w:val="Header"/>
    <w:basedOn w:val="679"/>
    <w:link w:val="876"/>
    <w:uiPriority w:val="99"/>
    <w:pPr>
      <w:jc w:val="left"/>
      <w:tabs>
        <w:tab w:val="center" w:pos="4844" w:leader="none"/>
        <w:tab w:val="right" w:pos="9689" w:leader="none"/>
      </w:tabs>
    </w:pPr>
    <w:rPr>
      <w:rFonts w:eastAsia="Times New Roman"/>
      <w:sz w:val="20"/>
      <w:szCs w:val="24"/>
      <w:lang w:eastAsia="ru-RU"/>
    </w:rPr>
  </w:style>
  <w:style w:type="character" w:styleId="876" w:customStyle="1">
    <w:name w:val="Верхний колонтитул Знак"/>
    <w:link w:val="875"/>
    <w:uiPriority w:val="99"/>
  </w:style>
  <w:style w:type="paragraph" w:styleId="877">
    <w:name w:val="Balloon Text"/>
    <w:basedOn w:val="679"/>
    <w:link w:val="878"/>
    <w:uiPriority w:val="99"/>
    <w:semiHidden/>
    <w:unhideWhenUsed/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689"/>
    <w:link w:val="877"/>
    <w:uiPriority w:val="99"/>
    <w:semiHidden/>
    <w:rPr>
      <w:rFonts w:ascii="Tahoma" w:hAnsi="Tahoma" w:eastAsia="Calibri" w:cs="Tahoma"/>
      <w:sz w:val="16"/>
      <w:szCs w:val="16"/>
    </w:rPr>
  </w:style>
  <w:style w:type="character" w:styleId="879">
    <w:name w:val="Hyperlink"/>
    <w:basedOn w:val="689"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revision>30</cp:revision>
  <dcterms:created xsi:type="dcterms:W3CDTF">2020-01-09T12:53:00Z</dcterms:created>
  <dcterms:modified xsi:type="dcterms:W3CDTF">2024-08-22T08:36:48Z</dcterms:modified>
</cp:coreProperties>
</file>