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EAB" w:rsidRPr="00462EAB" w:rsidRDefault="00462EAB" w:rsidP="00624937">
      <w:pPr>
        <w:spacing w:after="240" w:line="240" w:lineRule="auto"/>
        <w:rPr>
          <w:rFonts w:ascii="PTSans" w:eastAsia="Times New Roman" w:hAnsi="PTSans" w:cs="Times New Roman"/>
          <w:sz w:val="24"/>
          <w:szCs w:val="24"/>
          <w:lang w:eastAsia="ru-RU"/>
        </w:rPr>
      </w:pPr>
      <w:r w:rsidRPr="00462EAB">
        <w:rPr>
          <w:rFonts w:ascii="PTSans" w:eastAsia="Times New Roman" w:hAnsi="PTSans" w:cs="Times New Roman"/>
          <w:noProof/>
          <w:sz w:val="24"/>
          <w:szCs w:val="24"/>
          <w:lang w:eastAsia="ru-RU"/>
        </w:rPr>
        <w:drawing>
          <wp:inline distT="0" distB="0" distL="0" distR="0" wp14:anchorId="603E1EE0" wp14:editId="4A3360F3">
            <wp:extent cx="1762125" cy="361950"/>
            <wp:effectExtent l="0" t="0" r="9525" b="0"/>
            <wp:docPr id="2" name="Рисунок 2" descr="БЮДЖЕТ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ЮДЖЕТ.R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2EAB">
        <w:rPr>
          <w:rFonts w:ascii="PTSans" w:eastAsia="Times New Roman" w:hAnsi="PTSans" w:cs="Times New Roman"/>
          <w:sz w:val="24"/>
          <w:szCs w:val="24"/>
          <w:lang w:eastAsia="ru-RU"/>
        </w:rPr>
        <w:br/>
      </w:r>
      <w:r w:rsidRPr="00462EAB">
        <w:rPr>
          <w:rFonts w:ascii="PTSans" w:eastAsia="Times New Roman" w:hAnsi="PTSans" w:cs="Times New Roman"/>
          <w:sz w:val="24"/>
          <w:szCs w:val="24"/>
          <w:lang w:eastAsia="ru-RU"/>
        </w:rPr>
        <w:br/>
      </w:r>
      <w:r w:rsidR="00624937" w:rsidRPr="00C02A45">
        <w:rPr>
          <w:rFonts w:ascii="PTSans" w:eastAsia="Times New Roman" w:hAnsi="PTSans" w:cs="Times New Roman"/>
          <w:sz w:val="24"/>
          <w:szCs w:val="24"/>
          <w:lang w:eastAsia="ru-RU"/>
        </w:rPr>
        <w:t>©</w:t>
      </w:r>
      <w:r w:rsidR="00624937">
        <w:rPr>
          <w:rFonts w:ascii="PTSans" w:eastAsia="Times New Roman" w:hAnsi="PTSans" w:cs="Times New Roman"/>
          <w:sz w:val="24"/>
          <w:szCs w:val="24"/>
          <w:lang w:eastAsia="ru-RU"/>
        </w:rPr>
        <w:t xml:space="preserve"> </w:t>
      </w:r>
      <w:r w:rsidRPr="004866BE">
        <w:rPr>
          <w:rFonts w:ascii="Times New Roman" w:eastAsia="Times New Roman" w:hAnsi="Times New Roman" w:cs="Times New Roman"/>
          <w:sz w:val="24"/>
          <w:szCs w:val="24"/>
          <w:lang w:eastAsia="ru-RU"/>
        </w:rPr>
        <w:t>ИД «Бюджет»</w:t>
      </w:r>
      <w:r w:rsidRPr="00462EAB">
        <w:rPr>
          <w:rFonts w:ascii="PTSans" w:eastAsia="Times New Roman" w:hAnsi="PTSans" w:cs="Times New Roman"/>
          <w:sz w:val="24"/>
          <w:szCs w:val="24"/>
          <w:lang w:eastAsia="ru-RU"/>
        </w:rPr>
        <w:t xml:space="preserve"> – </w:t>
      </w:r>
      <w:hyperlink r:id="rId6" w:history="1">
        <w:r w:rsidRPr="00462EAB">
          <w:rPr>
            <w:rFonts w:ascii="Times New Roman" w:eastAsia="Times New Roman" w:hAnsi="Times New Roman" w:cs="Times New Roman"/>
            <w:color w:val="005B8B"/>
            <w:sz w:val="24"/>
            <w:szCs w:val="24"/>
            <w:u w:val="single"/>
            <w:lang w:eastAsia="ru-RU"/>
          </w:rPr>
          <w:t>№</w:t>
        </w:r>
        <w:r w:rsidR="004866BE">
          <w:rPr>
            <w:rFonts w:ascii="Times New Roman" w:eastAsia="Times New Roman" w:hAnsi="Times New Roman" w:cs="Times New Roman"/>
            <w:color w:val="005B8B"/>
            <w:sz w:val="24"/>
            <w:szCs w:val="24"/>
            <w:u w:val="single"/>
            <w:lang w:eastAsia="ru-RU"/>
          </w:rPr>
          <w:t>2 февраль</w:t>
        </w:r>
        <w:r w:rsidRPr="00462EAB">
          <w:rPr>
            <w:rFonts w:ascii="Times New Roman" w:eastAsia="Times New Roman" w:hAnsi="Times New Roman" w:cs="Times New Roman"/>
            <w:color w:val="005B8B"/>
            <w:sz w:val="24"/>
            <w:szCs w:val="24"/>
            <w:u w:val="single"/>
            <w:lang w:eastAsia="ru-RU"/>
          </w:rPr>
          <w:t xml:space="preserve"> 2019</w:t>
        </w:r>
      </w:hyperlink>
      <w:r w:rsidRPr="00462EAB">
        <w:rPr>
          <w:rFonts w:ascii="PTSans" w:eastAsia="Times New Roman" w:hAnsi="PTSans" w:cs="Times New Roman"/>
          <w:sz w:val="24"/>
          <w:szCs w:val="24"/>
          <w:lang w:eastAsia="ru-RU"/>
        </w:rPr>
        <w:t xml:space="preserve"> </w:t>
      </w:r>
      <w:r w:rsidRPr="00462EAB">
        <w:rPr>
          <w:rFonts w:ascii="Times New Roman" w:eastAsia="Times New Roman" w:hAnsi="Times New Roman" w:cs="Times New Roman"/>
          <w:color w:val="005B8B"/>
          <w:sz w:val="24"/>
          <w:szCs w:val="24"/>
          <w:u w:val="single"/>
          <w:lang w:eastAsia="ru-RU"/>
        </w:rPr>
        <w:t xml:space="preserve">– </w:t>
      </w:r>
      <w:hyperlink r:id="rId7" w:history="1">
        <w:r w:rsidRPr="004866B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2</w:t>
        </w:r>
        <w:r w:rsidR="004866BE" w:rsidRPr="004866B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5</w:t>
        </w:r>
        <w:r w:rsidRPr="004866B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.0</w:t>
        </w:r>
        <w:r w:rsidR="004866BE" w:rsidRPr="004866B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2</w:t>
        </w:r>
        <w:r w:rsidRPr="004866B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.2019</w:t>
        </w:r>
      </w:hyperlink>
    </w:p>
    <w:p w:rsidR="00C14AA2" w:rsidRDefault="00C14AA2" w:rsidP="00462EA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</w:pPr>
      <w:r w:rsidRPr="00C14AA2"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  <w:t>Подходы к формированию системы рейтингования в финансово-бюджетной сфере</w:t>
      </w:r>
    </w:p>
    <w:p w:rsidR="004866BE" w:rsidRDefault="00C14AA2" w:rsidP="00462EA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A0CD797" wp14:editId="39B7A0EF">
            <wp:simplePos x="0" y="0"/>
            <wp:positionH relativeFrom="column">
              <wp:posOffset>-3810</wp:posOffset>
            </wp:positionH>
            <wp:positionV relativeFrom="paragraph">
              <wp:posOffset>215265</wp:posOffset>
            </wp:positionV>
            <wp:extent cx="2489200" cy="1866900"/>
            <wp:effectExtent l="0" t="0" r="6350" b="0"/>
            <wp:wrapSquare wrapText="bothSides"/>
            <wp:docPr id="3" name="Рисунок 3" descr="Подходы к формированию системы рейтингования в финансово-бюджетной сфе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дходы к формированию системы рейтингования в финансово-бюджетной сфер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EAB" w:rsidRPr="00624937" w:rsidRDefault="00462EAB" w:rsidP="00462EAB">
      <w:pPr>
        <w:spacing w:after="0" w:line="240" w:lineRule="auto"/>
        <w:rPr>
          <w:rFonts w:ascii="PTSans" w:eastAsia="Times New Roman" w:hAnsi="PTSans" w:cs="Times New Roman"/>
          <w:sz w:val="24"/>
          <w:szCs w:val="24"/>
          <w:lang w:eastAsia="ru-RU"/>
        </w:rPr>
      </w:pPr>
    </w:p>
    <w:p w:rsidR="00C14AA2" w:rsidRDefault="00C14AA2" w:rsidP="00462EAB">
      <w:pPr>
        <w:spacing w:before="120" w:after="240" w:line="312" w:lineRule="atLeast"/>
        <w:rPr>
          <w:rFonts w:ascii="PTSans" w:eastAsia="Times New Roman" w:hAnsi="PTSans" w:cs="Times New Roman"/>
          <w:b/>
          <w:bCs/>
          <w:sz w:val="24"/>
          <w:szCs w:val="24"/>
          <w:lang w:eastAsia="ru-RU"/>
        </w:rPr>
      </w:pPr>
    </w:p>
    <w:p w:rsidR="00624937" w:rsidRDefault="00C14AA2" w:rsidP="00462EAB">
      <w:pPr>
        <w:spacing w:before="120" w:after="240" w:line="312" w:lineRule="atLeast"/>
        <w:rPr>
          <w:rFonts w:ascii="PTSans" w:eastAsia="Times New Roman" w:hAnsi="PTSans" w:cs="Times New Roman"/>
          <w:b/>
          <w:bCs/>
          <w:sz w:val="24"/>
          <w:szCs w:val="24"/>
          <w:lang w:eastAsia="ru-RU"/>
        </w:rPr>
      </w:pPr>
      <w:r w:rsidRPr="00C14AA2">
        <w:rPr>
          <w:rFonts w:ascii="PTSans" w:eastAsia="Times New Roman" w:hAnsi="PTSans" w:cs="Times New Roman"/>
          <w:b/>
          <w:bCs/>
          <w:sz w:val="24"/>
          <w:szCs w:val="24"/>
          <w:lang w:eastAsia="ru-RU"/>
        </w:rPr>
        <w:t>Светлана Николаевна КУЗЬМИНА, начальник Контрольно-аналитического управления в финансово-бюджетной сфере Федерального казначейства</w:t>
      </w:r>
    </w:p>
    <w:p w:rsidR="00C14AA2" w:rsidRDefault="00C14AA2" w:rsidP="00462EAB">
      <w:pPr>
        <w:spacing w:before="120" w:after="240" w:line="312" w:lineRule="atLeast"/>
        <w:rPr>
          <w:rFonts w:ascii="PTSans" w:eastAsia="Times New Roman" w:hAnsi="PTSans" w:cs="Times New Roman"/>
          <w:b/>
          <w:bCs/>
          <w:sz w:val="24"/>
          <w:szCs w:val="24"/>
          <w:lang w:eastAsia="ru-RU"/>
        </w:rPr>
      </w:pPr>
    </w:p>
    <w:p w:rsidR="004866BE" w:rsidRDefault="00C14AA2" w:rsidP="00624937">
      <w:pPr>
        <w:spacing w:before="100" w:beforeAutospacing="1" w:after="144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14A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современном обществе информация стала одним из важнейших стратегических управленческих ресурсов. В масштабе государства наличие объективной информации является необходимым условием эффективного функционирования и развития различных сфер общественной жизни, в том числе экономики и государственных финансов. Залогом эффективного функционирования экономики государства как системы является обеспечение экономической надежности всех участников бюджетного процесса, и для принятия управленческих решений, направленных на ее поддержание и укрепление, необходимо не только владеть информацией, но и научиться делать количественный и качественный ее анализ.</w:t>
      </w:r>
    </w:p>
    <w:p w:rsidR="004866BE" w:rsidRDefault="00C14AA2" w:rsidP="004866BE">
      <w:pPr>
        <w:pStyle w:val="a4"/>
        <w:ind w:firstLine="709"/>
        <w:jc w:val="both"/>
      </w:pPr>
      <w:r>
        <w:t xml:space="preserve">Казначейство России, обеспечивая кассовое исполнение бюджетов всех уровней, осуществляя контроль в финансово-бюджетной сфере, казначейское сопровождение, анализ исполнения бюджетных полномочий главными администраторами бюджетных средств и иные функции, является ключевым в государственном секторе проводником и хранилищем информации о деятельности получателей бюджетных средств, внебюджетных фондов — объектов финансово-бюджетной сферы. Кроме того, являясь оператором основных государственных информационных систем, Федеральное казначейство накопило значительный опыт обработки и оценки таких данных. С 2018 года Казначейство России реализует масштабный проект по разработке системы анализа рисков и выявления </w:t>
      </w:r>
      <w:proofErr w:type="spellStart"/>
      <w:r>
        <w:t>рискоемких</w:t>
      </w:r>
      <w:proofErr w:type="spellEnd"/>
      <w:r>
        <w:t xml:space="preserve"> направлений деятельности объектов контроля в финансово-бюджетной сфере (рисунок 1).</w:t>
      </w:r>
    </w:p>
    <w:p w:rsidR="00C14AA2" w:rsidRPr="00C14AA2" w:rsidRDefault="00C14AA2" w:rsidP="00C14AA2">
      <w:pPr>
        <w:pStyle w:val="a4"/>
        <w:ind w:firstLine="709"/>
        <w:jc w:val="center"/>
        <w:rPr>
          <w:bCs/>
          <w:i/>
        </w:rPr>
      </w:pPr>
      <w:r w:rsidRPr="00C14AA2">
        <w:rPr>
          <w:noProof/>
        </w:rPr>
        <w:drawing>
          <wp:anchor distT="0" distB="0" distL="0" distR="0" simplePos="0" relativeHeight="251660288" behindDoc="0" locked="0" layoutInCell="1" allowOverlap="0" wp14:anchorId="77C60B1B" wp14:editId="03A4F403">
            <wp:simplePos x="0" y="0"/>
            <wp:positionH relativeFrom="column">
              <wp:posOffset>472440</wp:posOffset>
            </wp:positionH>
            <wp:positionV relativeFrom="line">
              <wp:posOffset>50800</wp:posOffset>
            </wp:positionV>
            <wp:extent cx="4933950" cy="2535555"/>
            <wp:effectExtent l="0" t="0" r="0" b="0"/>
            <wp:wrapSquare wrapText="bothSides"/>
            <wp:docPr id="4" name="Рисунок 4" descr="35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5-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253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4AA2">
        <w:rPr>
          <w:bCs/>
          <w:i/>
        </w:rPr>
        <w:t>Рисунок 1. Синергия компетенции и возможностей</w:t>
      </w:r>
    </w:p>
    <w:p w:rsidR="00C14AA2" w:rsidRPr="00C14AA2" w:rsidRDefault="00C14AA2" w:rsidP="00C14AA2">
      <w:pPr>
        <w:pStyle w:val="2"/>
        <w:ind w:firstLine="709"/>
        <w:jc w:val="both"/>
        <w:rPr>
          <w:rFonts w:ascii="Times New Roman" w:eastAsia="Times New Roman" w:hAnsi="Times New Roman" w:cs="Times New Roman"/>
          <w:caps/>
          <w:color w:val="auto"/>
          <w:sz w:val="24"/>
          <w:szCs w:val="24"/>
          <w:lang w:eastAsia="ru-RU"/>
        </w:rPr>
      </w:pPr>
      <w:r w:rsidRPr="00C14AA2">
        <w:rPr>
          <w:rFonts w:ascii="Times New Roman" w:eastAsia="Times New Roman" w:hAnsi="Times New Roman" w:cs="Times New Roman"/>
          <w:caps/>
          <w:color w:val="auto"/>
          <w:sz w:val="24"/>
          <w:szCs w:val="24"/>
          <w:lang w:eastAsia="ru-RU"/>
        </w:rPr>
        <w:lastRenderedPageBreak/>
        <w:t>Контролер-консультант</w:t>
      </w:r>
    </w:p>
    <w:p w:rsidR="00C14AA2" w:rsidRPr="00C14AA2" w:rsidRDefault="00C14AA2" w:rsidP="00C14AA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Осуществляя полномочия органа государственного финансового контроля, Казначейство России считает необходимым перенос акцентов с выявления уже совершенных нарушений на их предупреждение. Именно поэтому в 2018 году значительные усилия ведомства были направлены на разработку сервисного инструмента создаваемой системы анализа рисков и выявления </w:t>
      </w:r>
      <w:proofErr w:type="spellStart"/>
      <w:r w:rsidRPr="00C14AA2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рискоемких</w:t>
      </w:r>
      <w:proofErr w:type="spellEnd"/>
      <w:r w:rsidRPr="00C1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направлений деятельности объектов контроля в финансово-бюджетной сфере (далее — система анализа рисков). Визуально этот инструмент будет реализован в виде так называемой системы рейтингов Федерального казначейства. </w:t>
      </w:r>
    </w:p>
    <w:p w:rsidR="00C14AA2" w:rsidRPr="00C14AA2" w:rsidRDefault="00C14AA2" w:rsidP="00C14AA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рейтингов должна стать эффективным механизмом взаимоотношений ведомства с объектами контроля в финансово-бюджетной сфере по модели «контролер-консультант». Предполагается обеспечить доступ объектов контроля к информации об их слабых местах для того, чтобы они имели возможность исправить нарушение или даже нивелировать риск его возникновения самостоятельно, силами внутреннего контроля и аудита, не дожидаясь проверки государственного контролера и последующих за этим санкций (рисунок </w:t>
      </w:r>
      <w:r>
        <w:rPr>
          <w:noProof/>
          <w:lang w:eastAsia="ru-RU"/>
        </w:rPr>
        <w:drawing>
          <wp:anchor distT="0" distB="0" distL="0" distR="0" simplePos="0" relativeHeight="251662336" behindDoc="0" locked="0" layoutInCell="1" allowOverlap="0" wp14:anchorId="3111B664" wp14:editId="0F8EEC27">
            <wp:simplePos x="0" y="0"/>
            <wp:positionH relativeFrom="column">
              <wp:posOffset>651510</wp:posOffset>
            </wp:positionH>
            <wp:positionV relativeFrom="line">
              <wp:posOffset>307975</wp:posOffset>
            </wp:positionV>
            <wp:extent cx="4762500" cy="2676525"/>
            <wp:effectExtent l="0" t="0" r="0" b="9525"/>
            <wp:wrapSquare wrapText="bothSides"/>
            <wp:docPr id="5" name="Рисунок 5" descr="35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5-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2). </w:t>
      </w:r>
    </w:p>
    <w:p w:rsidR="00C14AA2" w:rsidRDefault="00C14AA2" w:rsidP="004866BE">
      <w:pPr>
        <w:pStyle w:val="a4"/>
        <w:ind w:firstLine="709"/>
        <w:jc w:val="both"/>
      </w:pPr>
    </w:p>
    <w:p w:rsidR="00C14AA2" w:rsidRDefault="00C14AA2" w:rsidP="004866BE">
      <w:pPr>
        <w:pStyle w:val="a4"/>
        <w:ind w:firstLine="709"/>
        <w:jc w:val="both"/>
      </w:pPr>
    </w:p>
    <w:p w:rsidR="00C14AA2" w:rsidRDefault="00C14AA2" w:rsidP="004866BE">
      <w:pPr>
        <w:pStyle w:val="a4"/>
        <w:ind w:firstLine="709"/>
        <w:jc w:val="both"/>
      </w:pPr>
    </w:p>
    <w:p w:rsidR="00C14AA2" w:rsidRDefault="00C14AA2" w:rsidP="004866BE">
      <w:pPr>
        <w:pStyle w:val="a4"/>
        <w:ind w:firstLine="709"/>
        <w:jc w:val="both"/>
      </w:pPr>
    </w:p>
    <w:p w:rsidR="00C14AA2" w:rsidRDefault="00C14AA2" w:rsidP="004866BE">
      <w:pPr>
        <w:pStyle w:val="a4"/>
        <w:ind w:firstLine="709"/>
        <w:jc w:val="both"/>
      </w:pPr>
    </w:p>
    <w:p w:rsidR="00C14AA2" w:rsidRPr="00C14AA2" w:rsidRDefault="00C14AA2" w:rsidP="00C14AA2">
      <w:pPr>
        <w:rPr>
          <w:lang w:eastAsia="ru-RU"/>
        </w:rPr>
      </w:pPr>
    </w:p>
    <w:p w:rsidR="00C14AA2" w:rsidRPr="00C14AA2" w:rsidRDefault="00C14AA2" w:rsidP="00C14AA2">
      <w:pPr>
        <w:rPr>
          <w:lang w:eastAsia="ru-RU"/>
        </w:rPr>
      </w:pPr>
    </w:p>
    <w:p w:rsidR="00C14AA2" w:rsidRPr="00C14AA2" w:rsidRDefault="00C14AA2" w:rsidP="00C14AA2">
      <w:pPr>
        <w:rPr>
          <w:lang w:eastAsia="ru-RU"/>
        </w:rPr>
      </w:pPr>
    </w:p>
    <w:p w:rsidR="00C14AA2" w:rsidRPr="00C14AA2" w:rsidRDefault="00C14AA2" w:rsidP="00C14AA2">
      <w:pPr>
        <w:rPr>
          <w:lang w:eastAsia="ru-RU"/>
        </w:rPr>
      </w:pPr>
    </w:p>
    <w:p w:rsidR="00C14AA2" w:rsidRPr="00C14AA2" w:rsidRDefault="00C14AA2" w:rsidP="00C14AA2">
      <w:pPr>
        <w:rPr>
          <w:lang w:eastAsia="ru-RU"/>
        </w:rPr>
      </w:pPr>
    </w:p>
    <w:p w:rsidR="00C14AA2" w:rsidRPr="00C14AA2" w:rsidRDefault="00C14AA2" w:rsidP="00C14AA2">
      <w:pPr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C14AA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Рисунок 2. Структура системы рейтингов Федерального казначейства</w:t>
      </w:r>
    </w:p>
    <w:p w:rsidR="00C14AA2" w:rsidRDefault="00C14AA2" w:rsidP="00C14AA2">
      <w:pPr>
        <w:rPr>
          <w:lang w:eastAsia="ru-RU"/>
        </w:rPr>
      </w:pPr>
    </w:p>
    <w:p w:rsidR="00C14AA2" w:rsidRDefault="00C14AA2" w:rsidP="00C14AA2">
      <w:pPr>
        <w:ind w:firstLine="709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C14AA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Разработка показателей деятельности</w:t>
      </w:r>
    </w:p>
    <w:p w:rsidR="00C14AA2" w:rsidRPr="00C14AA2" w:rsidRDefault="00C14AA2" w:rsidP="00C14AA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 работы системы анализа рисков построен на изучении всего доступного ведомству массива информации и интегральной оценке успешности деятельности объекта контроля, складывающейся из значений различных показателей. В настоящее время идет поэтапная разработка показателей по нескольким направлениям деятельности, перечень которых может непрерывно дополняться. </w:t>
      </w:r>
    </w:p>
    <w:p w:rsidR="00C14AA2" w:rsidRPr="00C14AA2" w:rsidRDefault="00C14AA2" w:rsidP="00C14AA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Утверждение в декабре 2017 года Классификатора нарушений (рисков), выявляемых Федеральным казначейством в ходе осуществления контроля в финансово-бюджетной сфере, позволило в 2018 году приступить к первому этапу — разработке показателей, отражающих соблюдение положений нормативных правовых актов, регламентирующих деятельность учреждений и организаций, являющихся объектами контроля в финансово-бюджетной сфере (показатели </w:t>
      </w:r>
      <w:proofErr w:type="spellStart"/>
      <w:r w:rsidRPr="00C14AA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комплайенс</w:t>
      </w:r>
      <w:proofErr w:type="spellEnd"/>
      <w:r w:rsidRPr="00C1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-контроля). На следующем этапе будут сформированы показатели, необходимые для планирования контрольной деятельности с учетом </w:t>
      </w:r>
      <w:proofErr w:type="gramStart"/>
      <w:r w:rsidRPr="00C14AA2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риск-ориентированного</w:t>
      </w:r>
      <w:proofErr w:type="gramEnd"/>
      <w:r w:rsidRPr="00C1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подхода. Далее предполагается определить показатели для оценки государственных программ. Такие показатели упростят анализ информации для выбора направлений, по которым будут осуществляться контрольные мероприятия. </w:t>
      </w:r>
    </w:p>
    <w:p w:rsidR="00C14AA2" w:rsidRPr="00C14AA2" w:rsidRDefault="00C14AA2" w:rsidP="00C14AA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A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Четвертым типом станут показатели для проведения </w:t>
      </w:r>
      <w:proofErr w:type="spellStart"/>
      <w:r w:rsidRPr="00C14A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предпроверочного</w:t>
      </w:r>
      <w:proofErr w:type="spellEnd"/>
      <w:r w:rsidRPr="00C1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анализа, которые позволят контролерам задолго до выхода на проверку иметь полное досье объекта контроля. Такое досье будет содержать все необходимые данные о деятельности получателя бюджетных средств: от общих сведений об организации до результатов всех ранее проведенных контрольных мероприятий. Применение этого инструмента сократит временные затраты контролера на сбор и анализ информации, даст ему возможность сосредоточить внимание на наиболее сложных </w:t>
      </w:r>
      <w:proofErr w:type="spellStart"/>
      <w:r w:rsidRPr="00C14AA2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рискоемких</w:t>
      </w:r>
      <w:proofErr w:type="spellEnd"/>
      <w:r w:rsidRPr="00C1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направлениях деятельности учреждений и организаций. </w:t>
      </w:r>
    </w:p>
    <w:p w:rsidR="00C14AA2" w:rsidRPr="00C14AA2" w:rsidRDefault="00C14AA2" w:rsidP="00C14AA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мере разработки показателей, их накопления, настройки, интегральной оценки их значений с учетом весов система будет автоматически формировать сами рейтинги — визуальное представление проведенного анализа определенного набора показателей по каждому объекту. Упрощенно работа сложной системы анализа рисков представлена на </w:t>
      </w:r>
      <w:r>
        <w:rPr>
          <w:noProof/>
          <w:lang w:eastAsia="ru-RU"/>
        </w:rPr>
        <w:drawing>
          <wp:anchor distT="0" distB="0" distL="0" distR="0" simplePos="0" relativeHeight="251664384" behindDoc="0" locked="0" layoutInCell="1" allowOverlap="0" wp14:anchorId="3676A8FE" wp14:editId="013DF5A3">
            <wp:simplePos x="0" y="0"/>
            <wp:positionH relativeFrom="column">
              <wp:posOffset>-149225</wp:posOffset>
            </wp:positionH>
            <wp:positionV relativeFrom="line">
              <wp:posOffset>473075</wp:posOffset>
            </wp:positionV>
            <wp:extent cx="6571615" cy="5257800"/>
            <wp:effectExtent l="0" t="0" r="635" b="0"/>
            <wp:wrapSquare wrapText="bothSides"/>
            <wp:docPr id="6" name="Рисунок 6" descr="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1615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рисунке 3. </w:t>
      </w:r>
    </w:p>
    <w:p w:rsidR="00C14AA2" w:rsidRPr="00C14AA2" w:rsidRDefault="00C14AA2" w:rsidP="00C14AA2">
      <w:pPr>
        <w:ind w:firstLine="709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C14AA2" w:rsidRDefault="00C14AA2" w:rsidP="00C14AA2">
      <w:pPr>
        <w:tabs>
          <w:tab w:val="left" w:pos="0"/>
        </w:tabs>
        <w:jc w:val="center"/>
        <w:rPr>
          <w:lang w:eastAsia="ru-RU"/>
        </w:rPr>
      </w:pPr>
      <w:r w:rsidRPr="00C14AA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Рисунок 3. Модель системы анализа рисков и выявления </w:t>
      </w:r>
      <w:proofErr w:type="spellStart"/>
      <w:r w:rsidRPr="00C14AA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рискоемких</w:t>
      </w:r>
      <w:proofErr w:type="spellEnd"/>
      <w:r w:rsidRPr="00C14AA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направлений деятельности объектов контроля</w:t>
      </w:r>
    </w:p>
    <w:p w:rsidR="00C14AA2" w:rsidRDefault="00C14AA2" w:rsidP="00C14AA2">
      <w:pPr>
        <w:tabs>
          <w:tab w:val="left" w:pos="1965"/>
        </w:tabs>
        <w:rPr>
          <w:lang w:eastAsia="ru-RU"/>
        </w:rPr>
      </w:pPr>
    </w:p>
    <w:p w:rsidR="00C14AA2" w:rsidRDefault="00C14AA2" w:rsidP="00C14AA2">
      <w:pPr>
        <w:tabs>
          <w:tab w:val="left" w:pos="1965"/>
        </w:tabs>
        <w:ind w:firstLine="709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C14AA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Выяснить первопричину</w:t>
      </w:r>
    </w:p>
    <w:p w:rsidR="00C14AA2" w:rsidRDefault="00C14AA2" w:rsidP="00C14AA2">
      <w:pPr>
        <w:pStyle w:val="a4"/>
        <w:ind w:firstLine="709"/>
        <w:jc w:val="both"/>
      </w:pPr>
      <w:r>
        <w:t xml:space="preserve">Предполагается, что внутренними пользователями аналитической системы станут подразделения Федерального казначейства и его территориальных органов, внешними — главные администраторы бюджетных средств и их подведомственные учреждения. </w:t>
      </w:r>
    </w:p>
    <w:p w:rsidR="00C14AA2" w:rsidRDefault="00C14AA2" w:rsidP="00C14AA2">
      <w:pPr>
        <w:pStyle w:val="a4"/>
        <w:ind w:firstLine="709"/>
        <w:jc w:val="both"/>
      </w:pPr>
      <w:r>
        <w:lastRenderedPageBreak/>
        <w:t xml:space="preserve">Любой авторизованный пользователь системы из числа подконтрольных объектов сможет проанализировать причины изменения собственного рейтинга и при необходимости, проследив обратный путь от общей интегральной оценки к частному показателю, выяснить причину его снижения по первоисточнику непосредственно в информационных системах. Так, например, обладая широким набором визуализаций и графического представления анализируемой информации, система одновременно обеспечивает прямой переход к электронным документам Единой информационной системы в сфере закупок. </w:t>
      </w:r>
    </w:p>
    <w:p w:rsidR="00C14AA2" w:rsidRDefault="00C14AA2" w:rsidP="00C14AA2">
      <w:pPr>
        <w:pStyle w:val="a4"/>
        <w:ind w:firstLine="709"/>
        <w:jc w:val="both"/>
      </w:pPr>
      <w:r>
        <w:t xml:space="preserve">Важнейшим результатом работы создаваемой аналитической системы станет сплошной охват всех без исключения объектов контроля по имеющимся в информационных системах сведениям в автоматическом режиме. Это сделает предварительный контроль и мониторинг всеобъемлющими без увеличения </w:t>
      </w:r>
      <w:proofErr w:type="gramStart"/>
      <w:r>
        <w:t>нагрузки</w:t>
      </w:r>
      <w:proofErr w:type="gramEnd"/>
      <w:r>
        <w:t xml:space="preserve"> как на контролеров-ревизоров, так и на подконтрольную среду. </w:t>
      </w:r>
    </w:p>
    <w:p w:rsidR="00C14AA2" w:rsidRDefault="00C14AA2" w:rsidP="00C14AA2">
      <w:pPr>
        <w:pStyle w:val="a4"/>
        <w:ind w:firstLine="709"/>
        <w:jc w:val="both"/>
      </w:pPr>
      <w:r>
        <w:t xml:space="preserve">Главным администраторам бюджетных средств результат работы аналитической системы будет полезен в плане получения данных не только о своем месте в рейтинге, наличии рисков, но и о деятельности всех подведомственных учреждений. Выстраиваемые системой рейтинги — актуальный источник достоверной информации и действенный инструмент для принятия управленческих решений, а также осуществления учредительского </w:t>
      </w:r>
      <w:proofErr w:type="gramStart"/>
      <w:r>
        <w:t>контроля за</w:t>
      </w:r>
      <w:proofErr w:type="gramEnd"/>
      <w:r>
        <w:t xml:space="preserve"> подведомственными учреждениями, участвующими в ранжировании внутри подведомственной сети. При этом и сами организации и учреждения смогут с помощью системы обнаруживать недостатки своей работы и устранять их до проведения контрольных мероприятий Федеральным казначейством. </w:t>
      </w:r>
    </w:p>
    <w:p w:rsidR="00C14AA2" w:rsidRDefault="00C14AA2" w:rsidP="00C14AA2">
      <w:pPr>
        <w:pStyle w:val="a4"/>
        <w:ind w:firstLine="709"/>
        <w:jc w:val="both"/>
      </w:pPr>
      <w:bookmarkStart w:id="0" w:name="_GoBack"/>
      <w:bookmarkEnd w:id="0"/>
    </w:p>
    <w:p w:rsidR="00C14AA2" w:rsidRPr="00C14AA2" w:rsidRDefault="00C14AA2" w:rsidP="00C14AA2">
      <w:pPr>
        <w:pStyle w:val="2"/>
        <w:ind w:firstLine="709"/>
        <w:jc w:val="both"/>
        <w:rPr>
          <w:rFonts w:ascii="Times New Roman" w:eastAsia="Times New Roman" w:hAnsi="Times New Roman" w:cs="Times New Roman"/>
          <w:caps/>
          <w:color w:val="auto"/>
          <w:sz w:val="24"/>
          <w:szCs w:val="24"/>
          <w:lang w:eastAsia="ru-RU"/>
        </w:rPr>
      </w:pPr>
      <w:r w:rsidRPr="00C14AA2">
        <w:rPr>
          <w:rFonts w:ascii="Times New Roman" w:eastAsia="Times New Roman" w:hAnsi="Times New Roman" w:cs="Times New Roman"/>
          <w:caps/>
          <w:color w:val="auto"/>
          <w:sz w:val="24"/>
          <w:szCs w:val="24"/>
          <w:lang w:eastAsia="ru-RU"/>
        </w:rPr>
        <w:t>К цифровому контролю</w:t>
      </w:r>
    </w:p>
    <w:p w:rsidR="00C14AA2" w:rsidRDefault="00C14AA2" w:rsidP="00C14AA2">
      <w:pPr>
        <w:pStyle w:val="a4"/>
        <w:ind w:firstLine="709"/>
        <w:jc w:val="both"/>
      </w:pPr>
      <w:r>
        <w:t xml:space="preserve">Таким образом, ведомство рассчитывает, что система рейтингов Казначейства России как сервисный инструмент позволит вовлечь объекты контроля в контрольную деятельность, в том числе путем совершенствования механизмов работы системы внутреннего финансового контроля и аудита. Формирование рейтингов станет значимой вехой на пути перехода к контролю, который не фиксирует совершенное нарушение и наказывает, а выявляет причины его совершения, предупреждает о риске, а при условии своевременной реакции объекта контроля на предупреждение и предотвращает его. </w:t>
      </w:r>
    </w:p>
    <w:p w:rsidR="00C14AA2" w:rsidRDefault="00C14AA2" w:rsidP="00C14AA2">
      <w:pPr>
        <w:pStyle w:val="a4"/>
        <w:ind w:firstLine="709"/>
        <w:jc w:val="both"/>
      </w:pPr>
      <w:r>
        <w:t xml:space="preserve">Результаты действий или бездействия объекта контроля найдут отражение в одной или нескольких информационных системах и попадут в систему анализа рисков, что в случае бездействия приведет к снижению рейтинга. Повышение же рейтинга станет маркером эффективности принятых мер. Этот маркер будет прозрачным и объективным, независящим от человеческого фактора и отражающим уровень финансовой дисциплины и качества работы внутреннего финансового контроля и аудита. </w:t>
      </w:r>
    </w:p>
    <w:p w:rsidR="00C14AA2" w:rsidRDefault="00C14AA2" w:rsidP="00C14AA2">
      <w:pPr>
        <w:pStyle w:val="a4"/>
        <w:ind w:firstLine="709"/>
        <w:jc w:val="both"/>
      </w:pPr>
      <w:r>
        <w:t xml:space="preserve">Безусловно, Казначейство России ставит перед собой </w:t>
      </w:r>
      <w:proofErr w:type="gramStart"/>
      <w:r>
        <w:t>амбициозную</w:t>
      </w:r>
      <w:proofErr w:type="gramEnd"/>
      <w:r>
        <w:t xml:space="preserve"> задачу, на полную реализацию которой уйдет не один год. Однако сама по себе система анализа рисков — часть еще более масштабного проекта по созданию системы цифрового контроля, включающей полный цикл контрольной деятельности, от анализа рисков до формирования единой базы данных по всем этапам и всем объектам контроля. </w:t>
      </w:r>
    </w:p>
    <w:p w:rsidR="00C14AA2" w:rsidRPr="00C14AA2" w:rsidRDefault="00C14AA2" w:rsidP="00C14AA2">
      <w:pPr>
        <w:tabs>
          <w:tab w:val="left" w:pos="1965"/>
        </w:tabs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sectPr w:rsidR="00C14AA2" w:rsidRPr="00C14AA2" w:rsidSect="00C14AA2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D54"/>
    <w:rsid w:val="00156C88"/>
    <w:rsid w:val="00460BBE"/>
    <w:rsid w:val="00462EAB"/>
    <w:rsid w:val="004866BE"/>
    <w:rsid w:val="00624937"/>
    <w:rsid w:val="00BB4D54"/>
    <w:rsid w:val="00C1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2EAB"/>
    <w:pPr>
      <w:spacing w:before="300" w:after="300" w:line="240" w:lineRule="auto"/>
      <w:outlineLvl w:val="0"/>
    </w:pPr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66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2EAB"/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unhideWhenUsed/>
    <w:rsid w:val="00462EAB"/>
    <w:rPr>
      <w:color w:val="005B8B"/>
      <w:u w:val="single"/>
    </w:rPr>
  </w:style>
  <w:style w:type="paragraph" w:styleId="a4">
    <w:name w:val="Normal (Web)"/>
    <w:basedOn w:val="a"/>
    <w:uiPriority w:val="99"/>
    <w:unhideWhenUsed/>
    <w:rsid w:val="00462EAB"/>
    <w:pPr>
      <w:spacing w:before="120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4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93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4866B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2EAB"/>
    <w:pPr>
      <w:spacing w:before="300" w:after="300" w:line="240" w:lineRule="auto"/>
      <w:outlineLvl w:val="0"/>
    </w:pPr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66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2EAB"/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unhideWhenUsed/>
    <w:rsid w:val="00462EAB"/>
    <w:rPr>
      <w:color w:val="005B8B"/>
      <w:u w:val="single"/>
    </w:rPr>
  </w:style>
  <w:style w:type="paragraph" w:styleId="a4">
    <w:name w:val="Normal (Web)"/>
    <w:basedOn w:val="a"/>
    <w:uiPriority w:val="99"/>
    <w:unhideWhenUsed/>
    <w:rsid w:val="00462EAB"/>
    <w:pPr>
      <w:spacing w:before="120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4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93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4866B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8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8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4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5389">
          <w:marLeft w:val="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971160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9894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4845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77721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bujet.ru/article/367129.php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ujet.ru/article/367129.php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Хохлова Анна Юрьевна</cp:lastModifiedBy>
  <cp:revision>2</cp:revision>
  <cp:lastPrinted>2019-07-01T14:44:00Z</cp:lastPrinted>
  <dcterms:created xsi:type="dcterms:W3CDTF">2019-12-13T08:33:00Z</dcterms:created>
  <dcterms:modified xsi:type="dcterms:W3CDTF">2019-12-13T08:33:00Z</dcterms:modified>
</cp:coreProperties>
</file>