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EAB" w:rsidRPr="00462EAB" w:rsidRDefault="00462EAB" w:rsidP="00624937">
      <w:pPr>
        <w:spacing w:after="240" w:line="240" w:lineRule="auto"/>
        <w:rPr>
          <w:rFonts w:ascii="PTSans" w:eastAsia="Times New Roman" w:hAnsi="PTSans" w:cs="Times New Roman"/>
          <w:sz w:val="24"/>
          <w:szCs w:val="24"/>
          <w:lang w:eastAsia="ru-RU"/>
        </w:rPr>
      </w:pPr>
      <w:r w:rsidRPr="00462EAB">
        <w:rPr>
          <w:rFonts w:ascii="PTSans" w:eastAsia="Times New Roman" w:hAnsi="PTSans" w:cs="Times New Roman"/>
          <w:noProof/>
          <w:sz w:val="24"/>
          <w:szCs w:val="24"/>
          <w:lang w:eastAsia="ru-RU"/>
        </w:rPr>
        <w:drawing>
          <wp:inline distT="0" distB="0" distL="0" distR="0" wp14:anchorId="603E1EE0" wp14:editId="4A3360F3">
            <wp:extent cx="1762125" cy="361950"/>
            <wp:effectExtent l="0" t="0" r="9525" b="0"/>
            <wp:docPr id="2" name="Рисунок 2" descr="БЮДЖЕТ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ЮДЖЕТ.R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EAB">
        <w:rPr>
          <w:rFonts w:ascii="PTSans" w:eastAsia="Times New Roman" w:hAnsi="PTSans" w:cs="Times New Roman"/>
          <w:sz w:val="24"/>
          <w:szCs w:val="24"/>
          <w:lang w:eastAsia="ru-RU"/>
        </w:rPr>
        <w:br/>
      </w:r>
      <w:r w:rsidRPr="00462EAB">
        <w:rPr>
          <w:rFonts w:ascii="PTSans" w:eastAsia="Times New Roman" w:hAnsi="PTSans" w:cs="Times New Roman"/>
          <w:sz w:val="24"/>
          <w:szCs w:val="24"/>
          <w:lang w:eastAsia="ru-RU"/>
        </w:rPr>
        <w:br/>
      </w:r>
      <w:r w:rsidR="00624937" w:rsidRPr="00C02A45">
        <w:rPr>
          <w:rFonts w:ascii="PTSans" w:eastAsia="Times New Roman" w:hAnsi="PTSans" w:cs="Times New Roman"/>
          <w:sz w:val="24"/>
          <w:szCs w:val="24"/>
          <w:lang w:eastAsia="ru-RU"/>
        </w:rPr>
        <w:t>©</w:t>
      </w:r>
      <w:r w:rsidR="00624937">
        <w:rPr>
          <w:rFonts w:ascii="PTSans" w:eastAsia="Times New Roman" w:hAnsi="PTSans" w:cs="Times New Roman"/>
          <w:sz w:val="24"/>
          <w:szCs w:val="24"/>
          <w:lang w:eastAsia="ru-RU"/>
        </w:rPr>
        <w:t xml:space="preserve"> </w:t>
      </w:r>
      <w:hyperlink r:id="rId6" w:history="1">
        <w:r w:rsidRPr="00624937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ИД «Бюджет»</w:t>
        </w:r>
      </w:hyperlink>
      <w:r w:rsidRPr="00462EAB">
        <w:rPr>
          <w:rFonts w:ascii="PTSans" w:eastAsia="Times New Roman" w:hAnsi="PTSans" w:cs="Times New Roman"/>
          <w:sz w:val="24"/>
          <w:szCs w:val="24"/>
          <w:lang w:eastAsia="ru-RU"/>
        </w:rPr>
        <w:t xml:space="preserve"> – </w:t>
      </w:r>
      <w:hyperlink r:id="rId7" w:history="1">
        <w:r w:rsidRPr="00462EAB">
          <w:rPr>
            <w:rFonts w:ascii="Times New Roman" w:eastAsia="Times New Roman" w:hAnsi="Times New Roman" w:cs="Times New Roman"/>
            <w:color w:val="005B8B"/>
            <w:sz w:val="24"/>
            <w:szCs w:val="24"/>
            <w:u w:val="single"/>
            <w:lang w:eastAsia="ru-RU"/>
          </w:rPr>
          <w:t>№5 май 2019</w:t>
        </w:r>
      </w:hyperlink>
      <w:r w:rsidRPr="00462EAB">
        <w:rPr>
          <w:rFonts w:ascii="PTSans" w:eastAsia="Times New Roman" w:hAnsi="PTSans" w:cs="Times New Roman"/>
          <w:sz w:val="24"/>
          <w:szCs w:val="24"/>
          <w:lang w:eastAsia="ru-RU"/>
        </w:rPr>
        <w:t xml:space="preserve"> </w:t>
      </w:r>
      <w:r w:rsidRPr="00462EAB">
        <w:rPr>
          <w:rFonts w:ascii="Times New Roman" w:eastAsia="Times New Roman" w:hAnsi="Times New Roman" w:cs="Times New Roman"/>
          <w:color w:val="005B8B"/>
          <w:sz w:val="24"/>
          <w:szCs w:val="24"/>
          <w:u w:val="single"/>
          <w:lang w:eastAsia="ru-RU"/>
        </w:rPr>
        <w:t>– 21.05.2019</w:t>
      </w:r>
    </w:p>
    <w:p w:rsidR="00462EAB" w:rsidRPr="00624937" w:rsidRDefault="00462EAB" w:rsidP="00624937">
      <w:pPr>
        <w:spacing w:after="240" w:line="240" w:lineRule="auto"/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</w:pPr>
      <w:r w:rsidRPr="00624937"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  <w:t xml:space="preserve">Подходы к цифровизации контроля в финансово-бюджетной сфере </w:t>
      </w:r>
    </w:p>
    <w:p w:rsidR="00462EAB" w:rsidRPr="00624937" w:rsidRDefault="00462EAB" w:rsidP="00462EAB">
      <w:pPr>
        <w:spacing w:after="0" w:line="240" w:lineRule="auto"/>
        <w:rPr>
          <w:rFonts w:ascii="PTSans" w:eastAsia="Times New Roman" w:hAnsi="PTSans" w:cs="Times New Roman"/>
          <w:sz w:val="24"/>
          <w:szCs w:val="24"/>
          <w:lang w:eastAsia="ru-RU"/>
        </w:rPr>
      </w:pPr>
      <w:r w:rsidRPr="00624937">
        <w:rPr>
          <w:rFonts w:ascii="PTSans" w:eastAsia="Times New Roman" w:hAnsi="PTSans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5715</wp:posOffset>
            </wp:positionV>
            <wp:extent cx="1762125" cy="1339215"/>
            <wp:effectExtent l="0" t="0" r="0" b="0"/>
            <wp:wrapSquare wrapText="bothSides"/>
            <wp:docPr id="1" name="Рисунок 1" descr="Подходы к цифровизации контроля в финансово-бюджетной сфе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ходы к цифровизации контроля в финансово-бюджетной сфер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EAB" w:rsidRDefault="00462EAB" w:rsidP="00462EAB">
      <w:pPr>
        <w:spacing w:before="120" w:after="240" w:line="312" w:lineRule="atLeast"/>
        <w:rPr>
          <w:rFonts w:ascii="PTSans" w:eastAsia="Times New Roman" w:hAnsi="PTSans" w:cs="Times New Roman"/>
          <w:sz w:val="24"/>
          <w:szCs w:val="24"/>
          <w:lang w:eastAsia="ru-RU"/>
        </w:rPr>
      </w:pPr>
      <w:r w:rsidRPr="00624937"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  <w:t xml:space="preserve">Эли </w:t>
      </w:r>
      <w:proofErr w:type="spellStart"/>
      <w:r w:rsidRPr="00624937"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  <w:t>Абубакарович</w:t>
      </w:r>
      <w:proofErr w:type="spellEnd"/>
      <w:r w:rsidRPr="00624937"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  <w:t xml:space="preserve"> ИСАЕВ, заместитель руководителя Федерального казначейства, действительный государственный советник РФ 2-го класса, заслуженный экономист Российской Федерации</w:t>
      </w:r>
      <w:r w:rsidRPr="00624937">
        <w:rPr>
          <w:rFonts w:ascii="PTSans" w:eastAsia="Times New Roman" w:hAnsi="PTSans" w:cs="Times New Roman"/>
          <w:sz w:val="24"/>
          <w:szCs w:val="24"/>
          <w:lang w:eastAsia="ru-RU"/>
        </w:rPr>
        <w:t xml:space="preserve"> </w:t>
      </w:r>
    </w:p>
    <w:p w:rsidR="00624937" w:rsidRDefault="00624937" w:rsidP="00462EAB">
      <w:pPr>
        <w:spacing w:before="120" w:after="240" w:line="312" w:lineRule="atLeast"/>
        <w:rPr>
          <w:rFonts w:ascii="PTSans" w:eastAsia="Times New Roman" w:hAnsi="PTSans" w:cs="Times New Roman"/>
          <w:sz w:val="24"/>
          <w:szCs w:val="24"/>
          <w:lang w:eastAsia="ru-RU"/>
        </w:rPr>
      </w:pPr>
    </w:p>
    <w:p w:rsidR="00462EAB" w:rsidRPr="00624937" w:rsidRDefault="00462EAB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 условиях глобализации экономики финансово-бюджетная система РФ должна быть способной поддерживать стабильное состояние и сбалансированность, сохраняя эффективность управления государственными и муниципальными финансами. В этой связи оперативное управление возникающими в процессе реализации бюджетного цикла рисками приобретает особое значение.</w:t>
      </w: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62EAB" w:rsidRPr="00624937" w:rsidRDefault="00462EAB" w:rsidP="00624937">
      <w:pPr>
        <w:spacing w:before="100" w:beforeAutospacing="1" w:after="144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В едином информационном пространстве</w:t>
      </w:r>
    </w:p>
    <w:p w:rsidR="00462EAB" w:rsidRPr="00624937" w:rsidRDefault="00462EAB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Широкое внедрение в современную деятельность информационных технологий создает все возможности для перехода к новой парадигме контроля на основе данных информационных систем и систем управления рисками. На III Международной научно-практической </w:t>
      </w:r>
      <w:proofErr w:type="gram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конференции</w:t>
      </w:r>
      <w:proofErr w:type="gram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«Каким должен быть контролер будущего? Роль и место контроля в цифровой экономике» была отмечена необходимость создания на государственном уровне систем безопасности с превентивным принципом действия, внедрения технологий больших данных и искусственного интеллекта </w:t>
      </w:r>
      <w:proofErr w:type="gram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государственные и бизнес-сервисы. Очевидно, что и государственный финансовый контроль также должен меняться и перейти от состязательной к партнерской модели своей организации (рисунок 1), для чего цифровые технологии создают все необходимые предпосылки (рисунок 2). </w:t>
      </w:r>
    </w:p>
    <w:p w:rsidR="00624937" w:rsidRDefault="00624937" w:rsidP="00624937">
      <w:pPr>
        <w:spacing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00" cy="2419350"/>
            <wp:effectExtent l="0" t="0" r="0" b="0"/>
            <wp:docPr id="6" name="Рисунок 6" descr="49-1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9-1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EAB" w:rsidRPr="00624937" w:rsidRDefault="00156C88" w:rsidP="0062493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11" w:history="1">
        <w:r w:rsidR="00462EAB" w:rsidRPr="00624937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 xml:space="preserve">Рисунок 1. Новая парадигма контроля: от наказания к предупреждению </w:t>
        </w:r>
      </w:hyperlink>
    </w:p>
    <w:p w:rsidR="00462EAB" w:rsidRPr="00624937" w:rsidRDefault="00462EAB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 этих новых условиях орган контроля фактически становится участником бизнес-процессов объектов контроля, поскольку информационные системы позволяют встроить в эти процессы механизмы контроля и отслеживать все проводимые операции. В информационных системах в настоящее время содержатся практически все сведения о деятельности объектов контроля, это фактически «цифровые профили объектов контроля». </w:t>
      </w:r>
    </w:p>
    <w:p w:rsidR="00462EAB" w:rsidRPr="00624937" w:rsidRDefault="00624937" w:rsidP="00624937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7216" behindDoc="0" locked="0" layoutInCell="1" allowOverlap="0" wp14:anchorId="76CF6B85" wp14:editId="0E5CC65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00" cy="2867025"/>
            <wp:effectExtent l="0" t="0" r="0" b="9525"/>
            <wp:wrapSquare wrapText="bothSides"/>
            <wp:docPr id="5" name="Рисунок 5" descr="49-2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9-2.pn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4" w:history="1">
        <w:r w:rsidR="00462EAB" w:rsidRPr="00624937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Рисунок 2. Вектор развития: здесь и сейчас</w:t>
        </w:r>
      </w:hyperlink>
    </w:p>
    <w:p w:rsidR="00462EAB" w:rsidRPr="00624937" w:rsidRDefault="00462EAB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Указанный подход позволяет создать условия не только для оперативного выявления нарушений, но и для развития такой формы контроля, как регулярное и систематическое наблюдение — мониторинг и анализ состояния подконтрольной сферы и ее объектов без фактического выхода на объекты контроля. То есть контроль может оперативно реагировать на возникающие риски, не позволяя выполнять действия, ведущие к нарушениям, либо предупреждая о возможности совершения нарушения и неудовлетворительном состоянии соответствующих сфер деятельности объектов контроля. Контроль становится встроенным элементом системы управления, когда каждое действие на момент его совершения уже проверено и акцептовано в автоматическом режиме. </w:t>
      </w:r>
    </w:p>
    <w:p w:rsidR="00462EAB" w:rsidRPr="00624937" w:rsidRDefault="00462EAB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едином цифровом </w:t>
      </w:r>
      <w:proofErr w:type="gram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пространстве</w:t>
      </w:r>
      <w:proofErr w:type="gram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 обеспечивать не только постоянный мониторинг действий объекта контроля, но и единый доступ органов государственного финансового контроля к результатам такого мониторинга и результатам контрольных мероприятий в отношении объекта контроля (рисунок 3). Контролирующий орган в этой ситуации не только может изучить бизнес-процессы объектов контроля в информационных системах, которые автоматизируют их финансово-хозяйственную деятельность, но и имеет доступ к информационным системам, автоматизирующим иные аспекты их деятельности. Таким образом, </w:t>
      </w:r>
      <w:proofErr w:type="spell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мониторинга позволит обеспечивать его непрерывность, максимальный охват и прозрачность всей деятельности объектов контроля, а также прозрачность действий контролирующих органов. Как следствие, этот подход снизит нагрузку на объект контроля и обеспечит оперативное реагирование на риски реализации нарушений. </w:t>
      </w:r>
    </w:p>
    <w:p w:rsidR="00624937" w:rsidRDefault="00624937" w:rsidP="00624937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24937" w:rsidRDefault="00624937" w:rsidP="00624937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24937" w:rsidRDefault="00624937" w:rsidP="00624937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62EAB" w:rsidRDefault="00624937" w:rsidP="0062493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anchor distT="0" distB="0" distL="0" distR="0" simplePos="0" relativeHeight="251658240" behindDoc="0" locked="0" layoutInCell="1" allowOverlap="0" wp14:anchorId="7386EDE1" wp14:editId="1A60C98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00" cy="2714625"/>
            <wp:effectExtent l="0" t="0" r="0" b="9525"/>
            <wp:wrapSquare wrapText="bothSides"/>
            <wp:docPr id="4" name="Рисунок 4" descr="49-3.p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9-3.pn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7" w:history="1">
        <w:r w:rsidR="00462EAB" w:rsidRPr="00624937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Рисунок 3. Мониторинг действий объекта контроля в цифровом пространстве</w:t>
        </w:r>
      </w:hyperlink>
    </w:p>
    <w:p w:rsidR="00624937" w:rsidRDefault="00624937" w:rsidP="00624937">
      <w:pPr>
        <w:spacing w:before="100" w:beforeAutospacing="1" w:after="144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462EAB" w:rsidRPr="00624937" w:rsidRDefault="00462EAB" w:rsidP="00624937">
      <w:pPr>
        <w:spacing w:before="100" w:beforeAutospacing="1" w:after="144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Цифровой протокол</w:t>
      </w:r>
    </w:p>
    <w:p w:rsidR="00462EAB" w:rsidRPr="00624937" w:rsidRDefault="00462EAB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контроль не может быть исключительно партнерским, у него должна сохраняться </w:t>
      </w:r>
      <w:proofErr w:type="spell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правовосстановительная</w:t>
      </w:r>
      <w:proofErr w:type="spell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функция, а также, в случае если механизм предупреждения не срабатывает, функция наказания. Постоянный мониторинг бизнес-процессов объекта контроля в цифровом пространстве позволяет применять системы </w:t>
      </w:r>
      <w:proofErr w:type="spell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compliance</w:t>
      </w:r>
      <w:proofErr w:type="spell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-показателей рисков и нарушений, использование которых призвано, во-первых, максимально предотвращать возможные нарушения, а во-вторых, оперативно информировать орган контроля о тех нарушениях, которые уже свершились. </w:t>
      </w:r>
    </w:p>
    <w:p w:rsidR="00462EAB" w:rsidRPr="00624937" w:rsidRDefault="00462EAB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технология уже внедрена в органах Федерального казначейства: по итогам автоматизированного мониторинга и информационного контроля в настоящее время составляются протоколы об административных правонарушениях по ряду статей КоАП РФ, и охват составляет почти 100% нарушений, допускаемых главными распорядителями бюджетных средств по этим статьям. Применение такой опции позволило значительно снизить трудозатраты контролеров по сравнению с выездным контрольным мероприятием и повысить бюджетную дисциплину в целом. </w:t>
      </w:r>
    </w:p>
    <w:p w:rsidR="00462EAB" w:rsidRPr="00624937" w:rsidRDefault="00462EAB" w:rsidP="00624937">
      <w:pPr>
        <w:spacing w:before="100" w:beforeAutospacing="1" w:after="144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Цифровой профиль контролера и досье объекта контроля</w:t>
      </w:r>
    </w:p>
    <w:p w:rsidR="00462EAB" w:rsidRPr="00624937" w:rsidRDefault="00462EAB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целях повышения эффективности контрольной работы создан цифровой профиль контролера — все результаты деятельности контролера-ревизора в полном объеме отображаются в информационных системах Казначейства России. В первую очередь в системе, автоматизирующей деятельность по контролю в финансово-бюджетной сфере. Централизация информации обо всех проводимых контрольных мероприятиях позволила создать большую библиотеку процессуальных документов, формируемых в ходе мероприятий, проведенных органами Федерального казначейства, и тем самым унифицировать подходы к контрольной работе. </w:t>
      </w:r>
    </w:p>
    <w:p w:rsidR="00462EAB" w:rsidRPr="00624937" w:rsidRDefault="00462EAB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В 2017 году утвержден и используется для сбора отчетности детальный классификатор нарушений (рисков), выявляемых Федеральным казначейством в ходе осуществления контроля в финансово-бюджетной сфере</w:t>
      </w:r>
      <w:hyperlink r:id="rId18" w:history="1">
        <w:r w:rsidRPr="00624937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[1]</w:t>
        </w:r>
      </w:hyperlink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. Централизация информации о контрольной работе и применение классификатора нарушений создали предпосылки для развития дополнительных аналитических инструментов в рамках риск-ориентированного подхода — накопленные данные будут формировать досье объекта контроля в финансово-</w:t>
      </w: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бюджетной сфере.</w:t>
      </w:r>
      <w:proofErr w:type="gram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Создаваемая Федеральным казначейством модель </w:t>
      </w:r>
      <w:proofErr w:type="gram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риск-ориентированного</w:t>
      </w:r>
      <w:proofErr w:type="gram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контроля позволяет приблизиться к партнерской модели, ориентированной на оказание помощи объектам контроля, профилактику и предупреждение нарушений в финансово-бюджетной сфере, повышение эффективности деятельности объектов контроля. </w:t>
      </w:r>
    </w:p>
    <w:p w:rsidR="00462EAB" w:rsidRPr="00624937" w:rsidRDefault="00462EAB" w:rsidP="00624937">
      <w:pPr>
        <w:spacing w:before="100" w:beforeAutospacing="1" w:after="144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Информирование объектов контроля о рисках</w:t>
      </w:r>
    </w:p>
    <w:p w:rsidR="00462EAB" w:rsidRPr="00624937" w:rsidRDefault="00462EAB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Развитая информационная инфраструктура Федерального казначейства открывает широкие возможности для повышения уровня информированности объектов контроля об идентифицированных рисках в их деятельности, в том числе путем автоматизированного расчета </w:t>
      </w:r>
      <w:proofErr w:type="gram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показателей надежности деятельности объектов контроля</w:t>
      </w:r>
      <w:proofErr w:type="gram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визуализации соответствующих рейтингов (рисунок 4). Безусловно, для полноценной реализации и корректного функционирования такого масштабного инструмента </w:t>
      </w:r>
      <w:proofErr w:type="gram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риск-ориентированного</w:t>
      </w:r>
      <w:proofErr w:type="gram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предупреждения необходимо обеспечить непрерывность процесса систематизации, анализа информации о деятельности объектов контроля, содержащейся в информационных системах, используемых Федеральным казначейством, а также по </w:t>
      </w:r>
      <w:r w:rsidR="00624937" w:rsidRPr="006249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9264" behindDoc="0" locked="0" layoutInCell="1" allowOverlap="0" wp14:anchorId="417833C6" wp14:editId="3B670CC5">
            <wp:simplePos x="0" y="0"/>
            <wp:positionH relativeFrom="column">
              <wp:posOffset>-806450</wp:posOffset>
            </wp:positionH>
            <wp:positionV relativeFrom="line">
              <wp:posOffset>371475</wp:posOffset>
            </wp:positionV>
            <wp:extent cx="7029450" cy="3795395"/>
            <wp:effectExtent l="0" t="0" r="0" b="0"/>
            <wp:wrapSquare wrapText="bothSides"/>
            <wp:docPr id="3" name="Рисунок 3" descr="50.pn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0.pn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379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результатам проводимых контрольных мероприятий. </w:t>
      </w:r>
    </w:p>
    <w:p w:rsidR="00462EAB" w:rsidRPr="00624937" w:rsidRDefault="00156C88" w:rsidP="0062493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21" w:history="1">
        <w:r w:rsidR="00462EAB" w:rsidRPr="00624937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Рисунок 4. Система рейтингов объектов контроля в финансово-бюджетной сфере</w:t>
        </w:r>
      </w:hyperlink>
    </w:p>
    <w:p w:rsidR="00624937" w:rsidRDefault="00624937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EAB" w:rsidRPr="00624937" w:rsidRDefault="00462EAB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сегодняшний день Федеральное казначейство находится еще в начале пути, и отдельные вопросы </w:t>
      </w:r>
      <w:proofErr w:type="spell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еще предстоит обсудить на соответствующих экспертных площадках. Но уже сейчас становится очевидным, что применение указанных инструментов будет востребовано и приведет к значительной минимизации нарушений в финансово-бюджетной сфере, а также к повышению устойчивости и эффективности системы управления государственными финансами. </w:t>
      </w:r>
    </w:p>
    <w:p w:rsidR="00462EAB" w:rsidRPr="00624937" w:rsidRDefault="00462EAB" w:rsidP="00624937">
      <w:pPr>
        <w:spacing w:before="100" w:beforeAutospacing="1" w:after="144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Контроль в ЕИС</w:t>
      </w:r>
    </w:p>
    <w:p w:rsidR="00462EAB" w:rsidRPr="00624937" w:rsidRDefault="00462EAB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качестве примера автоматизации контроля можно привести работу Федерального казначейства в Единой информационной системе в сфере закупок. В настоящее время все </w:t>
      </w: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закупки переведены в электронный вид, внедряются структурированные документы — контракты, электронные акты, реализуется интеграция ЕИС с другими информационными системами, например с </w:t>
      </w:r>
      <w:proofErr w:type="gram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единым</w:t>
      </w:r>
      <w:proofErr w:type="gram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агрегатором</w:t>
      </w:r>
      <w:proofErr w:type="spell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закупок. </w:t>
      </w:r>
    </w:p>
    <w:p w:rsidR="00462EAB" w:rsidRPr="00624937" w:rsidRDefault="00462EAB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это позволяет обеспечивать автоматизированные контроли различных видов. В частности, в ЕИС уже реализован контроль, предусмотренный частью 5 статьи 99 Федерального закона № 44</w:t>
      </w: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ФЗ, что исключает возможность принятия обязатель</w:t>
      </w:r>
      <w:proofErr w:type="gram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св</w:t>
      </w:r>
      <w:proofErr w:type="gram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ерх сумм доведенных лимитов на всех уровнях публично-правовых образований. Таким образом, Федеральное казначейство обеспечивает встраивание контрольных процедур непосредственно в бизнес-процессы, реализуемые с использованием Единой информационной системы в сфере закупок, и такой </w:t>
      </w:r>
      <w:proofErr w:type="gramStart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</w:t>
      </w:r>
      <w:proofErr w:type="gramEnd"/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 распространить и на другие системы, оператором или владельцем которых является ведомство. </w:t>
      </w:r>
    </w:p>
    <w:p w:rsidR="00462EAB" w:rsidRDefault="00462EAB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37" w:rsidRDefault="00624937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EAB" w:rsidRPr="00624937" w:rsidRDefault="00156C88" w:rsidP="00624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154.35pt;height:.75pt" o:hrpct="330" o:hrstd="t" o:hr="t" fillcolor="#a0a0a0" stroked="f"/>
        </w:pict>
      </w:r>
    </w:p>
    <w:p w:rsidR="00462EAB" w:rsidRPr="00624937" w:rsidRDefault="00156C88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2" w:history="1">
        <w:r w:rsidR="00462EAB" w:rsidRPr="00624937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[1]</w:t>
        </w:r>
      </w:hyperlink>
      <w:r w:rsidR="00462EAB" w:rsidRPr="00624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Классификатор нарушений (рисков), выявляемых Федеральным казначейством в ходе осуществления контроля в финансово-бюджетной сфере, утвержден 19 декабря 2017 года. </w:t>
      </w:r>
    </w:p>
    <w:p w:rsidR="00460BBE" w:rsidRPr="00624937" w:rsidRDefault="00460BBE" w:rsidP="0062493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60BBE" w:rsidRPr="00624937" w:rsidSect="0062493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San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D54"/>
    <w:rsid w:val="00156C88"/>
    <w:rsid w:val="00460BBE"/>
    <w:rsid w:val="00462EAB"/>
    <w:rsid w:val="00624937"/>
    <w:rsid w:val="00BB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2EAB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2EAB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unhideWhenUsed/>
    <w:rsid w:val="00462EAB"/>
    <w:rPr>
      <w:color w:val="005B8B"/>
      <w:u w:val="single"/>
    </w:rPr>
  </w:style>
  <w:style w:type="paragraph" w:styleId="a4">
    <w:name w:val="Normal (Web)"/>
    <w:basedOn w:val="a"/>
    <w:uiPriority w:val="99"/>
    <w:semiHidden/>
    <w:unhideWhenUsed/>
    <w:rsid w:val="00462EAB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4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9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2EAB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2EAB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unhideWhenUsed/>
    <w:rsid w:val="00462EAB"/>
    <w:rPr>
      <w:color w:val="005B8B"/>
      <w:u w:val="single"/>
    </w:rPr>
  </w:style>
  <w:style w:type="paragraph" w:styleId="a4">
    <w:name w:val="Normal (Web)"/>
    <w:basedOn w:val="a"/>
    <w:uiPriority w:val="99"/>
    <w:semiHidden/>
    <w:unhideWhenUsed/>
    <w:rsid w:val="00462EAB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4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9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5389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971160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894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4845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77721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hyperlink" Target="file:///C:\Users\ASUS\Downloads\48.docx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ujet.ru/upload/iblock/2ce/50.png" TargetMode="External"/><Relationship Id="rId7" Type="http://schemas.openxmlformats.org/officeDocument/2006/relationships/hyperlink" Target="http://bujet.ru/magazine/2019/5/" TargetMode="External"/><Relationship Id="rId12" Type="http://schemas.openxmlformats.org/officeDocument/2006/relationships/hyperlink" Target="http://bujet.ru/upload/iblock/852/49_2.png" TargetMode="External"/><Relationship Id="rId17" Type="http://schemas.openxmlformats.org/officeDocument/2006/relationships/hyperlink" Target="http://bujet.ru/upload/iblock/d54/49_3.pn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5.png"/><Relationship Id="rId20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hyperlink" Target="http://bujet.ru/article/376994.php" TargetMode="External"/><Relationship Id="rId11" Type="http://schemas.openxmlformats.org/officeDocument/2006/relationships/hyperlink" Target="http://bujet.ru/upload/iblock/a1a/49_1.png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://bujet.ru/upload/iblock/d54/49_3.png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://bujet.ru/upload/iblock/2ce/50.p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ujet.ru/upload/iblock/a1a/49_1.png" TargetMode="External"/><Relationship Id="rId14" Type="http://schemas.openxmlformats.org/officeDocument/2006/relationships/hyperlink" Target="http://bujet.ru/upload/iblock/852/49_2.png" TargetMode="External"/><Relationship Id="rId22" Type="http://schemas.openxmlformats.org/officeDocument/2006/relationships/hyperlink" Target="file:///C:\Users\ASUS\Downloads\48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Хохлова Анна Юрьевна</cp:lastModifiedBy>
  <cp:revision>3</cp:revision>
  <cp:lastPrinted>2019-07-01T14:44:00Z</cp:lastPrinted>
  <dcterms:created xsi:type="dcterms:W3CDTF">2019-07-01T14:44:00Z</dcterms:created>
  <dcterms:modified xsi:type="dcterms:W3CDTF">2019-07-01T14:44:00Z</dcterms:modified>
</cp:coreProperties>
</file>