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2EAB" w:rsidRPr="00462EAB" w:rsidRDefault="00462EAB" w:rsidP="00624937">
      <w:pPr>
        <w:spacing w:after="240" w:line="240" w:lineRule="auto"/>
        <w:rPr>
          <w:rFonts w:ascii="PTSans" w:eastAsia="Times New Roman" w:hAnsi="PTSans" w:cs="Times New Roman"/>
          <w:sz w:val="24"/>
          <w:szCs w:val="24"/>
          <w:lang w:eastAsia="ru-RU"/>
        </w:rPr>
      </w:pPr>
      <w:r w:rsidRPr="00462EAB">
        <w:rPr>
          <w:rFonts w:ascii="PTSans" w:eastAsia="Times New Roman" w:hAnsi="PTSans" w:cs="Times New Roman"/>
          <w:noProof/>
          <w:sz w:val="24"/>
          <w:szCs w:val="24"/>
          <w:lang w:eastAsia="ru-RU"/>
        </w:rPr>
        <w:drawing>
          <wp:inline distT="0" distB="0" distL="0" distR="0" wp14:anchorId="603E1EE0" wp14:editId="4A3360F3">
            <wp:extent cx="1762125" cy="361950"/>
            <wp:effectExtent l="0" t="0" r="9525" b="0"/>
            <wp:docPr id="2" name="Рисунок 2" descr="БЮДЖЕТ.R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ЮДЖЕТ.RU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2125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62EAB">
        <w:rPr>
          <w:rFonts w:ascii="PTSans" w:eastAsia="Times New Roman" w:hAnsi="PTSans" w:cs="Times New Roman"/>
          <w:sz w:val="24"/>
          <w:szCs w:val="24"/>
          <w:lang w:eastAsia="ru-RU"/>
        </w:rPr>
        <w:br/>
      </w:r>
      <w:r w:rsidRPr="00462EAB">
        <w:rPr>
          <w:rFonts w:ascii="PTSans" w:eastAsia="Times New Roman" w:hAnsi="PTSans" w:cs="Times New Roman"/>
          <w:sz w:val="24"/>
          <w:szCs w:val="24"/>
          <w:lang w:eastAsia="ru-RU"/>
        </w:rPr>
        <w:br/>
      </w:r>
      <w:r w:rsidR="00624937" w:rsidRPr="00C02A45">
        <w:rPr>
          <w:rFonts w:ascii="PTSans" w:eastAsia="Times New Roman" w:hAnsi="PTSans" w:cs="Times New Roman"/>
          <w:sz w:val="24"/>
          <w:szCs w:val="24"/>
          <w:lang w:eastAsia="ru-RU"/>
        </w:rPr>
        <w:t>©</w:t>
      </w:r>
      <w:r w:rsidR="00624937">
        <w:rPr>
          <w:rFonts w:ascii="PTSans" w:eastAsia="Times New Roman" w:hAnsi="PTSans" w:cs="Times New Roman"/>
          <w:sz w:val="24"/>
          <w:szCs w:val="24"/>
          <w:lang w:eastAsia="ru-RU"/>
        </w:rPr>
        <w:t xml:space="preserve"> </w:t>
      </w:r>
      <w:r w:rsidRPr="004866BE">
        <w:rPr>
          <w:rFonts w:ascii="Times New Roman" w:eastAsia="Times New Roman" w:hAnsi="Times New Roman" w:cs="Times New Roman"/>
          <w:sz w:val="24"/>
          <w:szCs w:val="24"/>
          <w:lang w:eastAsia="ru-RU"/>
        </w:rPr>
        <w:t>ИД «Бюджет»</w:t>
      </w:r>
      <w:r w:rsidRPr="00462EAB">
        <w:rPr>
          <w:rFonts w:ascii="PTSans" w:eastAsia="Times New Roman" w:hAnsi="PTSans" w:cs="Times New Roman"/>
          <w:sz w:val="24"/>
          <w:szCs w:val="24"/>
          <w:lang w:eastAsia="ru-RU"/>
        </w:rPr>
        <w:t xml:space="preserve"> – </w:t>
      </w:r>
      <w:hyperlink r:id="rId6" w:history="1">
        <w:r w:rsidRPr="00462EAB">
          <w:rPr>
            <w:rFonts w:ascii="Times New Roman" w:eastAsia="Times New Roman" w:hAnsi="Times New Roman" w:cs="Times New Roman"/>
            <w:color w:val="005B8B"/>
            <w:sz w:val="24"/>
            <w:szCs w:val="24"/>
            <w:u w:val="single"/>
            <w:lang w:eastAsia="ru-RU"/>
          </w:rPr>
          <w:t>№</w:t>
        </w:r>
        <w:r w:rsidR="004866BE">
          <w:rPr>
            <w:rFonts w:ascii="Times New Roman" w:eastAsia="Times New Roman" w:hAnsi="Times New Roman" w:cs="Times New Roman"/>
            <w:color w:val="005B8B"/>
            <w:sz w:val="24"/>
            <w:szCs w:val="24"/>
            <w:u w:val="single"/>
            <w:lang w:eastAsia="ru-RU"/>
          </w:rPr>
          <w:t>2 февраль</w:t>
        </w:r>
        <w:r w:rsidRPr="00462EAB">
          <w:rPr>
            <w:rFonts w:ascii="Times New Roman" w:eastAsia="Times New Roman" w:hAnsi="Times New Roman" w:cs="Times New Roman"/>
            <w:color w:val="005B8B"/>
            <w:sz w:val="24"/>
            <w:szCs w:val="24"/>
            <w:u w:val="single"/>
            <w:lang w:eastAsia="ru-RU"/>
          </w:rPr>
          <w:t xml:space="preserve"> 2019</w:t>
        </w:r>
      </w:hyperlink>
      <w:r w:rsidRPr="00462EAB">
        <w:rPr>
          <w:rFonts w:ascii="PTSans" w:eastAsia="Times New Roman" w:hAnsi="PTSans" w:cs="Times New Roman"/>
          <w:sz w:val="24"/>
          <w:szCs w:val="24"/>
          <w:lang w:eastAsia="ru-RU"/>
        </w:rPr>
        <w:t xml:space="preserve"> </w:t>
      </w:r>
      <w:r w:rsidRPr="00462EAB">
        <w:rPr>
          <w:rFonts w:ascii="Times New Roman" w:eastAsia="Times New Roman" w:hAnsi="Times New Roman" w:cs="Times New Roman"/>
          <w:color w:val="005B8B"/>
          <w:sz w:val="24"/>
          <w:szCs w:val="24"/>
          <w:u w:val="single"/>
          <w:lang w:eastAsia="ru-RU"/>
        </w:rPr>
        <w:t xml:space="preserve">– </w:t>
      </w:r>
      <w:hyperlink r:id="rId7" w:history="1">
        <w:r w:rsidRPr="004866BE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2</w:t>
        </w:r>
        <w:r w:rsidR="004866BE" w:rsidRPr="004866BE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5</w:t>
        </w:r>
        <w:r w:rsidRPr="004866BE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.0</w:t>
        </w:r>
        <w:r w:rsidR="004866BE" w:rsidRPr="004866BE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2</w:t>
        </w:r>
        <w:r w:rsidRPr="004866BE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.2019</w:t>
        </w:r>
      </w:hyperlink>
    </w:p>
    <w:p w:rsidR="004866BE" w:rsidRDefault="004866BE" w:rsidP="00462EAB">
      <w:pPr>
        <w:spacing w:after="0" w:line="240" w:lineRule="auto"/>
        <w:rPr>
          <w:rFonts w:ascii="Times New Roman" w:eastAsia="Times New Roman" w:hAnsi="Times New Roman" w:cs="Times New Roman"/>
          <w:b/>
          <w:noProof/>
          <w:sz w:val="40"/>
          <w:szCs w:val="40"/>
          <w:lang w:eastAsia="ru-RU"/>
        </w:rPr>
      </w:pPr>
      <w:r w:rsidRPr="004866BE">
        <w:rPr>
          <w:rFonts w:ascii="Times New Roman" w:eastAsia="Times New Roman" w:hAnsi="Times New Roman" w:cs="Times New Roman"/>
          <w:b/>
          <w:noProof/>
          <w:sz w:val="40"/>
          <w:szCs w:val="40"/>
          <w:lang w:eastAsia="ru-RU"/>
        </w:rPr>
        <w:t xml:space="preserve">Новая парадигма контроля: от репрессивности к превентивности </w:t>
      </w:r>
    </w:p>
    <w:p w:rsidR="004866BE" w:rsidRDefault="004866BE" w:rsidP="00462EAB">
      <w:pPr>
        <w:spacing w:after="0" w:line="240" w:lineRule="auto"/>
        <w:rPr>
          <w:rFonts w:ascii="Times New Roman" w:eastAsia="Times New Roman" w:hAnsi="Times New Roman" w:cs="Times New Roman"/>
          <w:b/>
          <w:noProof/>
          <w:sz w:val="40"/>
          <w:szCs w:val="40"/>
          <w:lang w:eastAsia="ru-RU"/>
        </w:rPr>
      </w:pPr>
    </w:p>
    <w:p w:rsidR="00462EAB" w:rsidRPr="00624937" w:rsidRDefault="00462EAB" w:rsidP="00462EAB">
      <w:pPr>
        <w:spacing w:after="0" w:line="240" w:lineRule="auto"/>
        <w:rPr>
          <w:rFonts w:ascii="PTSans" w:eastAsia="Times New Roman" w:hAnsi="PTSans" w:cs="Times New Roman"/>
          <w:sz w:val="24"/>
          <w:szCs w:val="24"/>
          <w:lang w:eastAsia="ru-RU"/>
        </w:rPr>
      </w:pPr>
      <w:r w:rsidRPr="00624937">
        <w:rPr>
          <w:rFonts w:ascii="PTSans" w:eastAsia="Times New Roman" w:hAnsi="PTSans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-3810</wp:posOffset>
            </wp:positionH>
            <wp:positionV relativeFrom="paragraph">
              <wp:posOffset>5715</wp:posOffset>
            </wp:positionV>
            <wp:extent cx="1762125" cy="1339215"/>
            <wp:effectExtent l="0" t="0" r="0" b="0"/>
            <wp:wrapSquare wrapText="bothSides"/>
            <wp:docPr id="1" name="Рисунок 1" descr="Подходы к цифровизации контроля в финансово-бюджетной сфер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Подходы к цифровизации контроля в финансово-бюджетной сфере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2125" cy="1339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62EAB" w:rsidRDefault="00462EAB" w:rsidP="00462EAB">
      <w:pPr>
        <w:spacing w:before="120" w:after="240" w:line="312" w:lineRule="atLeast"/>
        <w:rPr>
          <w:rFonts w:ascii="PTSans" w:eastAsia="Times New Roman" w:hAnsi="PTSans" w:cs="Times New Roman"/>
          <w:sz w:val="24"/>
          <w:szCs w:val="24"/>
          <w:lang w:eastAsia="ru-RU"/>
        </w:rPr>
      </w:pPr>
      <w:r w:rsidRPr="00624937">
        <w:rPr>
          <w:rFonts w:ascii="PTSans" w:eastAsia="Times New Roman" w:hAnsi="PTSans" w:cs="Times New Roman"/>
          <w:b/>
          <w:bCs/>
          <w:sz w:val="24"/>
          <w:szCs w:val="24"/>
          <w:lang w:eastAsia="ru-RU"/>
        </w:rPr>
        <w:t xml:space="preserve">Эли </w:t>
      </w:r>
      <w:proofErr w:type="spellStart"/>
      <w:r w:rsidRPr="00624937">
        <w:rPr>
          <w:rFonts w:ascii="PTSans" w:eastAsia="Times New Roman" w:hAnsi="PTSans" w:cs="Times New Roman"/>
          <w:b/>
          <w:bCs/>
          <w:sz w:val="24"/>
          <w:szCs w:val="24"/>
          <w:lang w:eastAsia="ru-RU"/>
        </w:rPr>
        <w:t>Абубакарович</w:t>
      </w:r>
      <w:proofErr w:type="spellEnd"/>
      <w:r w:rsidRPr="00624937">
        <w:rPr>
          <w:rFonts w:ascii="PTSans" w:eastAsia="Times New Roman" w:hAnsi="PTSans" w:cs="Times New Roman"/>
          <w:b/>
          <w:bCs/>
          <w:sz w:val="24"/>
          <w:szCs w:val="24"/>
          <w:lang w:eastAsia="ru-RU"/>
        </w:rPr>
        <w:t xml:space="preserve"> ИСАЕВ, заместитель руководителя Федерального казначейства, действительный государственный советник РФ 2-го класса, заслуженный экономист Российской Федерации</w:t>
      </w:r>
      <w:r w:rsidRPr="00624937">
        <w:rPr>
          <w:rFonts w:ascii="PTSans" w:eastAsia="Times New Roman" w:hAnsi="PTSans" w:cs="Times New Roman"/>
          <w:sz w:val="24"/>
          <w:szCs w:val="24"/>
          <w:lang w:eastAsia="ru-RU"/>
        </w:rPr>
        <w:t xml:space="preserve"> </w:t>
      </w:r>
    </w:p>
    <w:p w:rsidR="00624937" w:rsidRDefault="00624937" w:rsidP="00462EAB">
      <w:pPr>
        <w:spacing w:before="120" w:after="240" w:line="312" w:lineRule="atLeast"/>
        <w:rPr>
          <w:rFonts w:ascii="PTSans" w:eastAsia="Times New Roman" w:hAnsi="PTSans" w:cs="Times New Roman"/>
          <w:sz w:val="24"/>
          <w:szCs w:val="24"/>
          <w:lang w:eastAsia="ru-RU"/>
        </w:rPr>
      </w:pPr>
    </w:p>
    <w:p w:rsidR="004866BE" w:rsidRDefault="004866BE" w:rsidP="00624937">
      <w:pPr>
        <w:spacing w:before="100" w:beforeAutospacing="1" w:after="144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4866B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Для эффективного управления общественными финансами необходимо оперативное реагирование на возникающие в процессе реализации бюджетного цикла риски, в том числе их минимизация. Соответственно, органы государственного финансового контроля должны в пределах своей компетенции своевременно предупреждать эти риски. Сложившаяся же на сегодняшний день практика, когда государственный финансовый контроль сконцентрирован на выявлении уже допущенных нарушений и привлечении к ответственности за их совершение, не в полной мере отвечает требованиям общества и государства.</w:t>
      </w:r>
    </w:p>
    <w:p w:rsidR="004866BE" w:rsidRDefault="004866BE" w:rsidP="00624937">
      <w:pPr>
        <w:spacing w:before="100" w:beforeAutospacing="1" w:after="144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:rsidR="004866BE" w:rsidRDefault="004866BE" w:rsidP="00624937">
      <w:pPr>
        <w:spacing w:before="120" w:after="24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  <w:r w:rsidRPr="004866BE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  <w:t>Партнерская модель контроля</w:t>
      </w:r>
    </w:p>
    <w:p w:rsidR="004866BE" w:rsidRDefault="004866BE" w:rsidP="004866BE">
      <w:pPr>
        <w:pStyle w:val="a4"/>
        <w:ind w:firstLine="709"/>
        <w:jc w:val="both"/>
      </w:pPr>
      <w:r>
        <w:t xml:space="preserve">Представляется, что государственный финансовый контроль в нынешних условиях должен меняться и перейти </w:t>
      </w:r>
      <w:proofErr w:type="gramStart"/>
      <w:r>
        <w:t>от</w:t>
      </w:r>
      <w:proofErr w:type="gramEnd"/>
      <w:r>
        <w:t xml:space="preserve"> состязательной к партнерской модели. </w:t>
      </w:r>
      <w:proofErr w:type="gramStart"/>
      <w:r>
        <w:t xml:space="preserve">Основной принцип построения такой модели — контрольная деятельность должна быть направлена не на поиск виновных и их наказание, а на предупреждение нарушений в подконтрольной среде и обеспечивать максимально оперативную реакцию на возникающие проблемы и риски в финансово-бюджетной сфере, в том числе при ее осуществлении должны использоваться результаты работы всех органов финансового контроля и информация о выявляемых ими рисках. </w:t>
      </w:r>
      <w:proofErr w:type="gramEnd"/>
    </w:p>
    <w:p w:rsidR="004866BE" w:rsidRDefault="004866BE" w:rsidP="004866BE">
      <w:pPr>
        <w:pStyle w:val="a4"/>
        <w:ind w:firstLine="709"/>
        <w:jc w:val="both"/>
      </w:pPr>
      <w:proofErr w:type="gramStart"/>
      <w:r>
        <w:t>Развивающаяся</w:t>
      </w:r>
      <w:proofErr w:type="gramEnd"/>
      <w:r>
        <w:t xml:space="preserve"> сегодня </w:t>
      </w:r>
      <w:proofErr w:type="spellStart"/>
      <w:r>
        <w:t>цифровизация</w:t>
      </w:r>
      <w:proofErr w:type="spellEnd"/>
      <w:r>
        <w:t xml:space="preserve"> бюджетных процессов создает необходимые условия для перехода к новой парадигме контроля на основе данных информационных систем и систем управления рисками. Орган контроля, с учетом существующих технических возможностей по встраиванию контрольных инструментов в реализуемые в информационных системах процедуры объектов контроля, становится участником их бизнес-процессов. И это позволяет оперативно и на постоянной основе осуществлять мониторинг деятельности объекта контроля, предупреждая его о возникающих рисках в финансово-бюджетной сфере. </w:t>
      </w:r>
    </w:p>
    <w:p w:rsidR="004866BE" w:rsidRDefault="004866BE" w:rsidP="004866BE">
      <w:pPr>
        <w:pStyle w:val="a4"/>
        <w:ind w:firstLine="709"/>
        <w:jc w:val="both"/>
      </w:pPr>
      <w:r>
        <w:t xml:space="preserve">Федеральное казначейство, являясь владельцем либо оператором значительного количества информационных систем и одновременно органом внутреннего государственного финансового контроля, начало движение к реализации партнерской модели контроля и постепенно переориентирует свою работу на упреждение нарушений. Сейчас Министерство финансов РФ и Федеральное казначейство рассматривают </w:t>
      </w:r>
      <w:r>
        <w:lastRenderedPageBreak/>
        <w:t xml:space="preserve">возможность внесения в Бюджетный кодекс изменений, устанавливающих право органов финансового контроля на постоянный доступ к данным государственных информационных систем. Представляется, что применение такой нормы создаст все условия для реализации </w:t>
      </w:r>
      <w:proofErr w:type="gramStart"/>
      <w:r>
        <w:t>риск-ориентированного</w:t>
      </w:r>
      <w:proofErr w:type="gramEnd"/>
      <w:r>
        <w:t xml:space="preserve"> подхода к контрольной деятельности, снизит ресурсные затраты на ее осуществление, в том числе со стороны объектов контроля, и в целом позволит повысить эффективность контроля. </w:t>
      </w:r>
    </w:p>
    <w:p w:rsidR="004866BE" w:rsidRDefault="004866BE" w:rsidP="004866BE">
      <w:pPr>
        <w:pStyle w:val="a4"/>
        <w:ind w:firstLine="709"/>
        <w:jc w:val="both"/>
      </w:pPr>
    </w:p>
    <w:p w:rsidR="004866BE" w:rsidRDefault="004866BE" w:rsidP="004866BE">
      <w:pPr>
        <w:pStyle w:val="2"/>
        <w:ind w:firstLine="709"/>
        <w:jc w:val="both"/>
        <w:rPr>
          <w:rFonts w:ascii="Times New Roman" w:eastAsia="Times New Roman" w:hAnsi="Times New Roman" w:cs="Times New Roman"/>
          <w:caps/>
          <w:color w:val="auto"/>
          <w:sz w:val="24"/>
          <w:szCs w:val="24"/>
          <w:lang w:eastAsia="ru-RU"/>
        </w:rPr>
      </w:pPr>
      <w:r w:rsidRPr="004866BE">
        <w:rPr>
          <w:rFonts w:ascii="Times New Roman" w:eastAsia="Times New Roman" w:hAnsi="Times New Roman" w:cs="Times New Roman"/>
          <w:caps/>
          <w:color w:val="auto"/>
          <w:sz w:val="24"/>
          <w:szCs w:val="24"/>
          <w:lang w:eastAsia="ru-RU"/>
        </w:rPr>
        <w:t>Цифровой двойник</w:t>
      </w:r>
    </w:p>
    <w:p w:rsidR="004866BE" w:rsidRDefault="004866BE" w:rsidP="004866BE">
      <w:pPr>
        <w:pStyle w:val="a4"/>
        <w:ind w:firstLine="709"/>
        <w:jc w:val="both"/>
      </w:pPr>
      <w:r>
        <w:t xml:space="preserve">В государственных информационных системах в настоящее время содержится значительный объем информации о деятельности объектов контроля в финансово-бюджетной сфере. С развитием современных технологий объем таких сведений постоянно увеличивается, становятся доступными различные способы их систематического сбора и анализа. То есть мы можем говорить о том, что сегодня появляется реальная возможность формирования электронного образа объекта контроля — его цифрового двойника. </w:t>
      </w:r>
    </w:p>
    <w:p w:rsidR="004866BE" w:rsidRDefault="004866BE" w:rsidP="004866BE">
      <w:pPr>
        <w:pStyle w:val="a4"/>
        <w:ind w:firstLine="709"/>
        <w:jc w:val="both"/>
      </w:pPr>
      <w:r>
        <w:t xml:space="preserve">Таким образом, для органов контроля создаются предпосылки для развития таких форм контроля, как регулярное и систематическое наблюдение — мониторинг и анализ состояния подконтрольной сферы и ее объектов без проведения контрольных мероприятий. При этом при установлении невысокого уровня риска в деятельности подконтрольного объекта орган контроля может и ограничиваться в его отношении только мониторинговыми процедурами. В перспективе создание единого цифрового контрольного пространства обеспечит не только мониторинг деятельности объектов контроля, но и общий доступ всех органов финансового контроля к результатам такого мониторинга и результатам контрольных мероприятий в отношении общих объектов контроля. При этом и работа контролера-ревизора может быть значительно автоматизирована. </w:t>
      </w:r>
    </w:p>
    <w:p w:rsidR="004866BE" w:rsidRDefault="004866BE" w:rsidP="004866BE">
      <w:pPr>
        <w:pStyle w:val="a4"/>
        <w:ind w:firstLine="709"/>
        <w:jc w:val="both"/>
      </w:pPr>
    </w:p>
    <w:p w:rsidR="004866BE" w:rsidRPr="004866BE" w:rsidRDefault="004866BE" w:rsidP="004866BE">
      <w:pPr>
        <w:pStyle w:val="2"/>
        <w:ind w:firstLine="709"/>
        <w:jc w:val="both"/>
        <w:rPr>
          <w:rFonts w:ascii="Times New Roman" w:eastAsia="Times New Roman" w:hAnsi="Times New Roman" w:cs="Times New Roman"/>
          <w:caps/>
          <w:color w:val="auto"/>
          <w:sz w:val="24"/>
          <w:szCs w:val="24"/>
          <w:lang w:eastAsia="ru-RU"/>
        </w:rPr>
      </w:pPr>
      <w:r w:rsidRPr="004866BE">
        <w:rPr>
          <w:rFonts w:ascii="Times New Roman" w:eastAsia="Times New Roman" w:hAnsi="Times New Roman" w:cs="Times New Roman"/>
          <w:caps/>
          <w:color w:val="auto"/>
          <w:sz w:val="24"/>
          <w:szCs w:val="24"/>
          <w:lang w:eastAsia="ru-RU"/>
        </w:rPr>
        <w:t>Автоматизированный протокол</w:t>
      </w:r>
    </w:p>
    <w:p w:rsidR="004866BE" w:rsidRDefault="004866BE" w:rsidP="004866BE">
      <w:pPr>
        <w:pStyle w:val="a4"/>
        <w:ind w:firstLine="709"/>
        <w:jc w:val="both"/>
      </w:pPr>
      <w:r>
        <w:t xml:space="preserve">Однако исключительно партнерским контроль быть не может, у него, конечно же, должна сохраняться и репрессивная функция. В случае если по каким-либо причинам нарушение не удалось предотвратить, должны быть применены соответствующие санкции к виновным лицам, которые тоже нужно будет реализовывать в автоматизированном режиме с применением механизма автоматического информирования контролера о совершенном нарушении либо о его признаках. </w:t>
      </w:r>
    </w:p>
    <w:p w:rsidR="004866BE" w:rsidRDefault="004866BE" w:rsidP="004866BE">
      <w:pPr>
        <w:pStyle w:val="a4"/>
        <w:ind w:firstLine="709"/>
        <w:jc w:val="both"/>
      </w:pPr>
      <w:r>
        <w:t xml:space="preserve">Данная технология уже внедрена в органах Федерального казначейства: по итогам автоматизированного мониторинга и информационного контроля в настоящее время составляются протоколы об административных правонарушениях по ряду статьей Кодекса об административных правонарушениях. Это значительно снизило трудозатраты Федерального казначейства, как органа контроля, и позволило повысить бюджетную дисциплину объектов контроля. </w:t>
      </w:r>
    </w:p>
    <w:p w:rsidR="004866BE" w:rsidRDefault="004866BE" w:rsidP="004866BE">
      <w:pPr>
        <w:pStyle w:val="a4"/>
        <w:ind w:firstLine="709"/>
        <w:jc w:val="both"/>
      </w:pPr>
    </w:p>
    <w:p w:rsidR="004866BE" w:rsidRPr="004866BE" w:rsidRDefault="004866BE" w:rsidP="004866BE">
      <w:pPr>
        <w:pStyle w:val="2"/>
        <w:ind w:firstLine="709"/>
        <w:jc w:val="both"/>
        <w:rPr>
          <w:rFonts w:ascii="Times New Roman" w:eastAsia="Times New Roman" w:hAnsi="Times New Roman" w:cs="Times New Roman"/>
          <w:caps/>
          <w:color w:val="auto"/>
          <w:sz w:val="24"/>
          <w:szCs w:val="24"/>
          <w:lang w:eastAsia="ru-RU"/>
        </w:rPr>
      </w:pPr>
      <w:r w:rsidRPr="004866BE">
        <w:rPr>
          <w:rFonts w:ascii="Times New Roman" w:eastAsia="Times New Roman" w:hAnsi="Times New Roman" w:cs="Times New Roman"/>
          <w:caps/>
          <w:color w:val="auto"/>
          <w:sz w:val="24"/>
          <w:szCs w:val="24"/>
          <w:lang w:eastAsia="ru-RU"/>
        </w:rPr>
        <w:t>Объем информации увеличивается</w:t>
      </w:r>
    </w:p>
    <w:p w:rsidR="004866BE" w:rsidRDefault="004866BE" w:rsidP="004866BE">
      <w:pPr>
        <w:pStyle w:val="a4"/>
        <w:ind w:firstLine="709"/>
        <w:jc w:val="both"/>
      </w:pPr>
      <w:proofErr w:type="spellStart"/>
      <w:r>
        <w:t>Цифровизация</w:t>
      </w:r>
      <w:proofErr w:type="spellEnd"/>
      <w:r>
        <w:t xml:space="preserve"> открывает широкие горизонты для органов финансового контроля. К примеру, Федеральное казначейство имеет возможность получать информацию о деятельности объектов контроля из своей автоматизированной системы в части показателей исполнения бюджета каждого получателя бюджетных средств. Одновременно ведомство имеет доступ к данным о закупках через ЕИС, к информации о деятельности </w:t>
      </w:r>
      <w:r>
        <w:lastRenderedPageBreak/>
        <w:t xml:space="preserve">иных контрольных органов в финансово-бюджетной сфере через портал государственного и муниципального аудита, администрируемый Счетной палатой РФ. </w:t>
      </w:r>
    </w:p>
    <w:p w:rsidR="004866BE" w:rsidRDefault="004866BE" w:rsidP="004866BE">
      <w:pPr>
        <w:pStyle w:val="a4"/>
        <w:ind w:firstLine="709"/>
        <w:jc w:val="both"/>
      </w:pPr>
      <w:r>
        <w:t xml:space="preserve">Также в распоряжении Казначейства России имеются результаты анализа осуществления внутреннего финансового контроля и внутреннего финансового аудита главных администраторов средств федерального бюджета, казначейского сопровождения и результаты исполнения иных полномочий ведомства, которые могут свидетельствовать о наличии рисков в финансово-бюджетной сфере. Кроме того, Федеральное казначейство в рамках автоматизации своей контрольной деятельности реализовало централизованный доступ к библиотеке процессуальных документов в отношении проведенных контрольных мероприятий. Это уже сейчас обеспечивает единообразный подход к реализации контрольных полномочий всеми органами Федерального казначейства. </w:t>
      </w:r>
    </w:p>
    <w:p w:rsidR="004866BE" w:rsidRDefault="004866BE" w:rsidP="004866BE">
      <w:pPr>
        <w:pStyle w:val="a4"/>
        <w:ind w:firstLine="709"/>
        <w:jc w:val="both"/>
      </w:pPr>
    </w:p>
    <w:p w:rsidR="004866BE" w:rsidRPr="004866BE" w:rsidRDefault="004866BE" w:rsidP="004866BE">
      <w:pPr>
        <w:pStyle w:val="2"/>
        <w:ind w:firstLine="709"/>
        <w:jc w:val="both"/>
        <w:rPr>
          <w:rFonts w:ascii="Times New Roman" w:eastAsia="Times New Roman" w:hAnsi="Times New Roman" w:cs="Times New Roman"/>
          <w:caps/>
          <w:color w:val="auto"/>
          <w:sz w:val="24"/>
          <w:szCs w:val="24"/>
          <w:lang w:eastAsia="ru-RU"/>
        </w:rPr>
      </w:pPr>
      <w:r w:rsidRPr="004866BE">
        <w:rPr>
          <w:rFonts w:ascii="Times New Roman" w:eastAsia="Times New Roman" w:hAnsi="Times New Roman" w:cs="Times New Roman"/>
          <w:caps/>
          <w:color w:val="auto"/>
          <w:sz w:val="24"/>
          <w:szCs w:val="24"/>
          <w:lang w:eastAsia="ru-RU"/>
        </w:rPr>
        <w:t>Помощь в достижении результатов</w:t>
      </w:r>
    </w:p>
    <w:p w:rsidR="004866BE" w:rsidRDefault="004866BE" w:rsidP="004866BE">
      <w:pPr>
        <w:pStyle w:val="a4"/>
        <w:ind w:firstLine="709"/>
        <w:jc w:val="both"/>
      </w:pPr>
      <w:r>
        <w:t xml:space="preserve">Имея доступ к информации по всем наиболее значимым направлениям деятельности объектов контроля в финансово-бюджетной сфере и высокую степень автоматизации полномочий, Федеральное казначейство готово выйти на новый уровень реализации сервисного обеспечения своей подконтрольной среды, в первую </w:t>
      </w:r>
      <w:proofErr w:type="gramStart"/>
      <w:r>
        <w:t>очередь</w:t>
      </w:r>
      <w:proofErr w:type="gramEnd"/>
      <w:r>
        <w:t xml:space="preserve"> помогая объектам контроля достигать запланированных результатов с учетом обеспечения законности их финансовых операций. </w:t>
      </w:r>
    </w:p>
    <w:p w:rsidR="00624937" w:rsidRDefault="004866BE" w:rsidP="004866BE">
      <w:pPr>
        <w:pStyle w:val="a4"/>
        <w:ind w:firstLine="709"/>
        <w:jc w:val="both"/>
      </w:pPr>
      <w:r>
        <w:t xml:space="preserve">В этой связи также можно отметить создаваемую Федеральным казначейством систему показателей </w:t>
      </w:r>
      <w:proofErr w:type="spellStart"/>
      <w:r>
        <w:t>рискоемкости</w:t>
      </w:r>
      <w:proofErr w:type="spellEnd"/>
      <w:r>
        <w:t xml:space="preserve"> деятельности объектов контроля в финансово-бюджетной сфере с использованием данных информационных систем, оператором или владельцем которых является ведомство. Применение этих показателей, формирование соответствующих </w:t>
      </w:r>
      <w:proofErr w:type="gramStart"/>
      <w:r>
        <w:t>рейтингов успешности деятельности объектов контроля</w:t>
      </w:r>
      <w:proofErr w:type="gramEnd"/>
      <w:r>
        <w:t xml:space="preserve"> и размещение их в доступной указанным организациям информационной среде позволят одновременно решить две задачи. Это обеспечение </w:t>
      </w:r>
      <w:proofErr w:type="gramStart"/>
      <w:r>
        <w:t>риск-ориентированного</w:t>
      </w:r>
      <w:proofErr w:type="gramEnd"/>
      <w:r>
        <w:t xml:space="preserve"> подхода Федерального казначейства к своей контрольной работе и внедрение элементов партнерской модели контроля путем информирования объектов контроля о рисках в их деятельности. Безусловно, для полноценной реализации и корректного функционирования такого механизма необходимо обеспечить непрерывный процесс систематизации, анализа информации, содержащейся в информационных системах, а также данных о результатах проводимых контрольных мероприятий. (Подробнее о системе рейтингов Федерального казначейства читайте в статье С. Н. Кузьминой «Подходы к формированию системы </w:t>
      </w:r>
      <w:proofErr w:type="spellStart"/>
      <w:r>
        <w:t>рейтингования</w:t>
      </w:r>
      <w:proofErr w:type="spellEnd"/>
      <w:r>
        <w:t xml:space="preserve"> в финансово-бюджетной сфере».) </w:t>
      </w:r>
      <w:bookmarkStart w:id="0" w:name="_GoBack"/>
      <w:bookmarkEnd w:id="0"/>
    </w:p>
    <w:p w:rsidR="00460BBE" w:rsidRPr="00624937" w:rsidRDefault="00460BBE" w:rsidP="00624937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460BBE" w:rsidRPr="00624937" w:rsidSect="00624937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Sans">
    <w:altName w:val="Times New Roman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4D54"/>
    <w:rsid w:val="00156C88"/>
    <w:rsid w:val="00460BBE"/>
    <w:rsid w:val="00462EAB"/>
    <w:rsid w:val="004866BE"/>
    <w:rsid w:val="00624937"/>
    <w:rsid w:val="00BB4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62EAB"/>
    <w:pPr>
      <w:spacing w:before="300" w:after="300" w:line="240" w:lineRule="auto"/>
      <w:outlineLvl w:val="0"/>
    </w:pPr>
    <w:rPr>
      <w:rFonts w:ascii="PTSans" w:eastAsia="Times New Roman" w:hAnsi="PTSans" w:cs="Times New Roman"/>
      <w:b/>
      <w:bCs/>
      <w:kern w:val="36"/>
      <w:sz w:val="54"/>
      <w:szCs w:val="5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866B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62EAB"/>
    <w:rPr>
      <w:rFonts w:ascii="PTSans" w:eastAsia="Times New Roman" w:hAnsi="PTSans" w:cs="Times New Roman"/>
      <w:b/>
      <w:bCs/>
      <w:kern w:val="36"/>
      <w:sz w:val="54"/>
      <w:szCs w:val="54"/>
      <w:lang w:eastAsia="ru-RU"/>
    </w:rPr>
  </w:style>
  <w:style w:type="character" w:styleId="a3">
    <w:name w:val="Hyperlink"/>
    <w:basedOn w:val="a0"/>
    <w:uiPriority w:val="99"/>
    <w:unhideWhenUsed/>
    <w:rsid w:val="00462EAB"/>
    <w:rPr>
      <w:color w:val="005B8B"/>
      <w:u w:val="single"/>
    </w:rPr>
  </w:style>
  <w:style w:type="paragraph" w:styleId="a4">
    <w:name w:val="Normal (Web)"/>
    <w:basedOn w:val="a"/>
    <w:uiPriority w:val="99"/>
    <w:unhideWhenUsed/>
    <w:rsid w:val="00462EAB"/>
    <w:pPr>
      <w:spacing w:before="120" w:after="16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249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24937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semiHidden/>
    <w:rsid w:val="004866BE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62EAB"/>
    <w:pPr>
      <w:spacing w:before="300" w:after="300" w:line="240" w:lineRule="auto"/>
      <w:outlineLvl w:val="0"/>
    </w:pPr>
    <w:rPr>
      <w:rFonts w:ascii="PTSans" w:eastAsia="Times New Roman" w:hAnsi="PTSans" w:cs="Times New Roman"/>
      <w:b/>
      <w:bCs/>
      <w:kern w:val="36"/>
      <w:sz w:val="54"/>
      <w:szCs w:val="5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866B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62EAB"/>
    <w:rPr>
      <w:rFonts w:ascii="PTSans" w:eastAsia="Times New Roman" w:hAnsi="PTSans" w:cs="Times New Roman"/>
      <w:b/>
      <w:bCs/>
      <w:kern w:val="36"/>
      <w:sz w:val="54"/>
      <w:szCs w:val="54"/>
      <w:lang w:eastAsia="ru-RU"/>
    </w:rPr>
  </w:style>
  <w:style w:type="character" w:styleId="a3">
    <w:name w:val="Hyperlink"/>
    <w:basedOn w:val="a0"/>
    <w:uiPriority w:val="99"/>
    <w:unhideWhenUsed/>
    <w:rsid w:val="00462EAB"/>
    <w:rPr>
      <w:color w:val="005B8B"/>
      <w:u w:val="single"/>
    </w:rPr>
  </w:style>
  <w:style w:type="paragraph" w:styleId="a4">
    <w:name w:val="Normal (Web)"/>
    <w:basedOn w:val="a"/>
    <w:uiPriority w:val="99"/>
    <w:unhideWhenUsed/>
    <w:rsid w:val="00462EAB"/>
    <w:pPr>
      <w:spacing w:before="120" w:after="16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249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24937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semiHidden/>
    <w:rsid w:val="004866BE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907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660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4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705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822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090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0948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406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85389">
          <w:marLeft w:val="30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2971160">
              <w:marLeft w:val="-2550"/>
              <w:marRight w:val="480"/>
              <w:marTop w:val="480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309894">
              <w:marLeft w:val="-2550"/>
              <w:marRight w:val="480"/>
              <w:marTop w:val="480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734845">
              <w:marLeft w:val="-2550"/>
              <w:marRight w:val="480"/>
              <w:marTop w:val="480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577721">
              <w:marLeft w:val="-2550"/>
              <w:marRight w:val="480"/>
              <w:marTop w:val="480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http://bujet.ru/article/367122.php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bujet.ru/article/367122.php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1195</Words>
  <Characters>6814</Characters>
  <Application>Microsoft Office Word</Application>
  <DocSecurity>4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Хохлова Анна Юрьевна</cp:lastModifiedBy>
  <cp:revision>2</cp:revision>
  <cp:lastPrinted>2019-07-01T14:44:00Z</cp:lastPrinted>
  <dcterms:created xsi:type="dcterms:W3CDTF">2019-12-13T08:28:00Z</dcterms:created>
  <dcterms:modified xsi:type="dcterms:W3CDTF">2019-12-13T08:28:00Z</dcterms:modified>
</cp:coreProperties>
</file>