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6A0" w:rsidRPr="00C303E0" w:rsidRDefault="00F536A0" w:rsidP="00C303E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bujet.ru/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article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/367261.php</w:t>
      </w:r>
    </w:p>
    <w:p w:rsidR="00F536A0" w:rsidRPr="00C303E0" w:rsidRDefault="00F536A0" w:rsidP="00C303E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" w:history="1">
        <w:r w:rsidRPr="00C303E0">
          <w:rPr>
            <w:rFonts w:ascii="Times New Roman" w:eastAsia="Times New Roman" w:hAnsi="Times New Roman" w:cs="Times New Roman"/>
            <w:color w:val="005B8B"/>
            <w:sz w:val="28"/>
            <w:szCs w:val="28"/>
            <w:u w:val="single"/>
            <w:lang w:eastAsia="ru-RU"/>
          </w:rPr>
          <w:t>Финансы</w:t>
        </w:r>
      </w:hyperlink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© </w:t>
      </w:r>
      <w:hyperlink r:id="rId5" w:history="1">
        <w:r w:rsidRPr="00C303E0">
          <w:rPr>
            <w:rFonts w:ascii="Times New Roman" w:eastAsia="Times New Roman" w:hAnsi="Times New Roman" w:cs="Times New Roman"/>
            <w:color w:val="005B8B"/>
            <w:sz w:val="28"/>
            <w:szCs w:val="28"/>
            <w:u w:val="single"/>
            <w:lang w:eastAsia="ru-RU"/>
          </w:rPr>
          <w:t>ИД «Бюджет»</w:t>
        </w:r>
      </w:hyperlink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hyperlink r:id="rId6" w:history="1">
        <w:r w:rsidRPr="00C303E0">
          <w:rPr>
            <w:rFonts w:ascii="Times New Roman" w:eastAsia="Times New Roman" w:hAnsi="Times New Roman" w:cs="Times New Roman"/>
            <w:color w:val="005B8B"/>
            <w:sz w:val="28"/>
            <w:szCs w:val="28"/>
            <w:u w:val="single"/>
            <w:lang w:eastAsia="ru-RU"/>
          </w:rPr>
          <w:t>№2 февраль 2019</w:t>
        </w:r>
      </w:hyperlink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Pr="00C303E0">
          <w:rPr>
            <w:rFonts w:ascii="Times New Roman" w:eastAsia="Times New Roman" w:hAnsi="Times New Roman" w:cs="Times New Roman"/>
            <w:color w:val="005B8B"/>
            <w:sz w:val="28"/>
            <w:szCs w:val="28"/>
            <w:u w:val="single"/>
            <w:lang w:eastAsia="ru-RU"/>
          </w:rPr>
          <w:t>– 18.02.2019</w:t>
        </w:r>
      </w:hyperlink>
    </w:p>
    <w:p w:rsidR="00883452" w:rsidRPr="00C303E0" w:rsidRDefault="00883452" w:rsidP="00C303E0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83452" w:rsidRPr="00C303E0" w:rsidRDefault="00883452" w:rsidP="00C303E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Елена Николаевна ИВАНЧИНА, </w:t>
      </w:r>
    </w:p>
    <w:p w:rsidR="00883452" w:rsidRPr="00C303E0" w:rsidRDefault="00883452" w:rsidP="00C303E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ведущий консультант Департамента методологии, </w:t>
      </w:r>
    </w:p>
    <w:p w:rsidR="00883452" w:rsidRPr="00C303E0" w:rsidRDefault="00883452" w:rsidP="00C303E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анализа и консалтинга ООО «БФТ» </w:t>
      </w:r>
    </w:p>
    <w:p w:rsidR="00883452" w:rsidRPr="00C303E0" w:rsidRDefault="00883452" w:rsidP="00C303E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Дмитрий Вячеславович ГАРИН, </w:t>
      </w:r>
    </w:p>
    <w:p w:rsidR="00883452" w:rsidRPr="00C303E0" w:rsidRDefault="00883452" w:rsidP="00C303E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директор Департамента методологии, </w:t>
      </w:r>
    </w:p>
    <w:p w:rsidR="00883452" w:rsidRPr="00C303E0" w:rsidRDefault="00883452" w:rsidP="00C303E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анализа и консалтинга ООО «БФТ»</w:t>
      </w: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3452" w:rsidRPr="00C303E0" w:rsidRDefault="00883452" w:rsidP="00C303E0">
      <w:pPr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883452" w:rsidRPr="00C303E0" w:rsidRDefault="00883452" w:rsidP="00C303E0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F536A0" w:rsidRPr="00C303E0" w:rsidRDefault="00883452" w:rsidP="00C303E0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СОВЕРШЕНСТВОВАНИЕ МЕХАНИЗМОВ ФИНАНСИРОВАНИЯ ГОСЗАДАНИЯ НА ПРИМЕРЕ СФЕРЫ ОБРАЗОВАНИЯ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 момента принятия в 2010 году Федерального закона № 83</w:t>
      </w:r>
      <w:r w:rsidRPr="00C303E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noBreakHyphen/>
        <w:t>ФЗ прошло достаточно времени, чтобы делать объективные выводы о результатах его внедрения. Так, можно с уверенностью утверждать, что принятые на всех уровнях власти подзаконные акты привели к созданию нормативно-правового поля, обеспечившего общие методологические подходы к формированию, а затем и применению такого эффективного механизма финансового обеспечения выполнения государственного (муниципального) задания, как нормативное финансирование. Однако до настоящего времени во многих субъектах РФ и муниципальных образованиях остались нерешенными отдельные проблемы.</w:t>
      </w: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2C3E50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b/>
          <w:bCs/>
          <w:caps/>
          <w:color w:val="2C3E50"/>
          <w:sz w:val="28"/>
          <w:szCs w:val="28"/>
          <w:lang w:eastAsia="ru-RU"/>
        </w:rPr>
        <w:t xml:space="preserve">Проблемы нормативного финансирования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применения нормативного финансирования как механизма финансового обеспечения выполнения государственного (муниципального) задания (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госзадания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позволяет сделать вывод, что во многих регионах и муниципалитетах остались нерешенные вопросы. Прежде всего это: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прозрачного механизма планирования показателей объема 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госзадания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низкая обоснованность базовых нормативов и корректирующих коэффициентов к ним;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слабая координация взаимодействия участников планирования бюджета в части вопросов финансового обеспечения государственного (муниципального) задания.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при отсутствии прозрачного механизма планирования показателей объема 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госзадания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зачастую возникает ситуация значительного завышения или занижения показателей. Это приводит к частым корректировкам 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госзадания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течение текущего финансового года или к его невыполнению в полном объеме по результатам отчетного финансового года. Особенно это актуально для тех субъектов РФ и муниципальных образований, где нормативными правовыми актами не предусмотрен коридор отклонения показателей объема, в рамках которого 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госзадание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считается выполненным. Помимо этого, при отсутствии прозрачного механизма планирования </w:t>
      </w: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показателей у финансовых органов нет четкого понимания, как соответствующие отраслевые органы власти определяют значения этих показателей для проведения необходимых корректировок, что также приводит к трудностям при защите бюджета.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 свою очередь, низкая обоснованность базовых нормативов и корректирующих коэффициентов к ним обусловлена отказом от использования натуральных норм, нормативов и стандартов (как отраслевых, так и общеотраслевых) в пользу медианного метода или метода наиболее эффективного учреждения при определении нормативных затрат. Это приводит к росту числа необоснованных индивидуальных коэффициентов к базовому нормативу либо к использованию натуральных норм, разработанных индивидуально для каждого государственного (муниципального) учреждения.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Слабая координация взаимодействия участников планирования бюджета в части вопросов финансового обеспечения государственного (муниципального) задания зачастую приводит к несопоставимости данных различных финансовых и отраслевых органов власти. Не обеспечивается непрерывность цепочки при реализации мероприятий планирования бюджета.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эти проблемы требуют </w:t>
      </w:r>
      <w:r w:rsidR="005E2BFB"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решения,</w:t>
      </w: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взаимоувязанных между собой задач с тем, чтобы были достигнуты цели повышения эффективности и прозрачности бюджетных расходов при финансовом обеспечении выполнения 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госзадания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 также такие важные конечные результаты, как рост доступности качественных государственных (муниципальных) услуг для потребителей. Необходимо параллельно решить следующие задачи: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прозрачной методологии определения показателей объема государственных (муниципальных) услуг (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совершенствование методологии определения нормативных затрат на оказание 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сторону конкретизации применяемых методов при расчете базовых нормативов и корректирующих коэффициентов к ним;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регламента взаимодействия участников в процессе планирования бюджета в части вопросов финансового обеспечения выполнения 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госзадания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2C3E50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b/>
          <w:bCs/>
          <w:caps/>
          <w:color w:val="2C3E50"/>
          <w:sz w:val="28"/>
          <w:szCs w:val="28"/>
          <w:lang w:eastAsia="ru-RU"/>
        </w:rPr>
        <w:t>Определение объема услуг в образовании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Механизм определения показателей объема 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сфере образования, с одной стороны, прост, так как есть официальная отчетность Росстата и исторически сложившиеся формы ведомственной отчетности. Кроме того, круг потребителей в данной сфере в той или иной степени ограничен (в отличие от образования в других сферах далеко не всегда можно ограничить круг потребителей. Например, в сфере социальной защиты населения, культуры, молодежной политики. Что делает задачу определения показателей объема для них еще более актуальной). С другой стороны, в образовании существует ряд проблем с планированием показателя среднегодового контингента учащихся. Проблемы следующие: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 формуле определения среднегодового контингента отсутствует учет реального времени оказания услуги. Например, по основным </w:t>
      </w: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профессиональным образовательным программам среднего профессионального образования (СПО) необходимо учитывать длительность программ (если программа длится два года и восемь месяцев, а не два года и десять месяцев, то учитывается выпуск с 1 мая и не завышается среднегодовой контингент); сроки начала учебного года (если учебный год начинается 1 октября, а не 1 сентября, то это должно учитываться, чтобы не завышать контингент за счет учета обучающихся в сентябре);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 большинстве случаев отсутствует практика учета изменения численности получателей услуг по независящим от государственных (муниципальных) учреждений причинам (смена места жительства, призыв в армию, неуспеваемость и т. п.);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отсутствует установленный нормативными правовыми актами подход к расчету фактического объема государственных (муниципальных) услуг по итогам года и ожидаемого объема по итогам отчетного периода (например, квартала).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этих проблем является важным в условиях необходимости принятия обоснованных управленческих решений при квартальных корректировках 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госзаданий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 также в случае принятия решений о возможном возврате средств субсидии на финансовое обеспечение выполнения 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госзадания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недостижении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фактическим показателям объема запланированных значений.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для того чтобы уйти от завышения значений показателей объема, необходима точная, прозрачная и единая формула расчета, предусматривающая учет реального времени оказания услуги, а также учет процента выбытия по независящим от государственных (муниципальных) учреждений причинам (процент отсева). Единство и точность формулы достигаются в том числе через введение буквенного обозначения времени начала и окончания оказания услуги. Например, количество месяцев обучения выпускников, студентов первого курса в соответствующем финансовом году.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2C3E50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b/>
          <w:bCs/>
          <w:caps/>
          <w:color w:val="2C3E50"/>
          <w:sz w:val="28"/>
          <w:szCs w:val="28"/>
          <w:lang w:eastAsia="ru-RU"/>
        </w:rPr>
        <w:t>Учет выбывших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Сложнее обстоит дело с учетом выбывших по независящим от учреждения причинам. Так, отдельные субъекты РФ применяют нормы, установленные в 1970-х годах (учет 60% от числа выбывших для учреждений СПО)</w:t>
      </w:r>
      <w:hyperlink r:id="rId8" w:history="1">
        <w:r w:rsidRPr="00C303E0">
          <w:rPr>
            <w:rFonts w:ascii="Times New Roman" w:eastAsia="Times New Roman" w:hAnsi="Times New Roman" w:cs="Times New Roman"/>
            <w:color w:val="005B8B"/>
            <w:sz w:val="28"/>
            <w:szCs w:val="28"/>
            <w:vertAlign w:val="superscript"/>
            <w:lang w:eastAsia="ru-RU"/>
          </w:rPr>
          <w:t>[1]</w:t>
        </w:r>
      </w:hyperlink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, другие используют федеральный подход, когда основная формула умножается на коэффициент</w:t>
      </w:r>
      <w:hyperlink r:id="rId9" w:history="1">
        <w:r w:rsidRPr="00C303E0">
          <w:rPr>
            <w:rFonts w:ascii="Times New Roman" w:eastAsia="Times New Roman" w:hAnsi="Times New Roman" w:cs="Times New Roman"/>
            <w:color w:val="005B8B"/>
            <w:sz w:val="28"/>
            <w:szCs w:val="28"/>
            <w:vertAlign w:val="superscript"/>
            <w:lang w:eastAsia="ru-RU"/>
          </w:rPr>
          <w:t>[2]</w:t>
        </w:r>
      </w:hyperlink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, третьи применяют собственный подход по установлению процента выбытия</w:t>
      </w:r>
      <w:hyperlink r:id="rId10" w:history="1">
        <w:r w:rsidRPr="00C303E0">
          <w:rPr>
            <w:rFonts w:ascii="Times New Roman" w:eastAsia="Times New Roman" w:hAnsi="Times New Roman" w:cs="Times New Roman"/>
            <w:color w:val="005B8B"/>
            <w:sz w:val="28"/>
            <w:szCs w:val="28"/>
            <w:vertAlign w:val="superscript"/>
            <w:lang w:eastAsia="ru-RU"/>
          </w:rPr>
          <w:t>[3]</w:t>
        </w:r>
      </w:hyperlink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четвертые не учитывают выбывших вообще.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Вариант применения норм по выбывшим, предложенный Минфином СССР, не находит своего обоснования на практике и до сих пор используется отдельными субъектами РФ без корректировки значения в 60% от числа выбывших. Федеральный подход дает прозрачную формулу расчета, но коэффициент выбытия в среднем вполовину ниже факта, по данным проанализированных субъектов РФ. Оба эти подхода не учитывают региональные особенности. Привлекателен вариант определения собственного коэффициента выбытия. Этот подход является, во-первых, </w:t>
      </w: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гибким: можно </w:t>
      </w:r>
      <w:r w:rsidR="00883452"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устанавливать,</w:t>
      </w: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общий для всех процент выбытия, так и индивидуальный или групповой с учетом тех или иных факторов (например, форм обучения, реализуемых программ). Во-вторых, реалистичным: устанавливается с учетом сложившейся в регионе практики. В-третьих, удобным для прогноза: если установлен процент отсева, то для формирования прогнозного значения среднегодового контингента не надо каждый раз собирать информацию по выбывшим.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Приведем пример результатов расчета процента выбытия (отсева) на основе фактических данных за 2016, 2017 и девять месяцев 2018 года по основным профессиональным образовательным программам среднего профессионального и высшего образования, реализуемым учреждениями одного из субъектов РФ (таблица), — ретроспективный анализ по 55 государственным образовательным организациям. </w:t>
      </w:r>
    </w:p>
    <w:p w:rsidR="00883452" w:rsidRPr="00C303E0" w:rsidRDefault="00883452" w:rsidP="00C303E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Таблица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 результатов расчета процентов выбытия (отсева), %</w:t>
      </w: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4"/>
        <w:gridCol w:w="2004"/>
        <w:gridCol w:w="873"/>
        <w:gridCol w:w="1532"/>
        <w:gridCol w:w="1076"/>
      </w:tblGrid>
      <w:tr w:rsidR="00F536A0" w:rsidRPr="00C303E0" w:rsidTr="00F536A0">
        <w:trPr>
          <w:tblHeader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536A0" w:rsidRPr="00C303E0" w:rsidRDefault="00F536A0" w:rsidP="006F1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показателя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536A0" w:rsidRPr="00C303E0" w:rsidRDefault="00F536A0" w:rsidP="006F1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% выбытия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536A0" w:rsidRPr="00C303E0" w:rsidRDefault="00F536A0" w:rsidP="006F1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Очно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536A0" w:rsidRPr="00C303E0" w:rsidRDefault="00F536A0" w:rsidP="006F1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Очно-заочно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536A0" w:rsidRPr="00C303E0" w:rsidRDefault="00F536A0" w:rsidP="006F1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Заочно </w:t>
            </w:r>
          </w:p>
        </w:tc>
      </w:tr>
      <w:tr w:rsidR="00F536A0" w:rsidRPr="00C303E0" w:rsidTr="00F536A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536A0" w:rsidRPr="00C303E0" w:rsidRDefault="00F536A0" w:rsidP="006F1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программам СПО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536A0" w:rsidRPr="00C303E0" w:rsidRDefault="00F536A0" w:rsidP="006F1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5,5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536A0" w:rsidRPr="00C303E0" w:rsidRDefault="00F536A0" w:rsidP="006F1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5,0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536A0" w:rsidRPr="00C303E0" w:rsidRDefault="00F536A0" w:rsidP="006F1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10,0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536A0" w:rsidRPr="00C303E0" w:rsidRDefault="00F536A0" w:rsidP="006F1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12,0 </w:t>
            </w:r>
          </w:p>
        </w:tc>
      </w:tr>
      <w:tr w:rsidR="00F536A0" w:rsidRPr="00C303E0" w:rsidTr="00F536A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536A0" w:rsidRPr="00C303E0" w:rsidRDefault="00F536A0" w:rsidP="006F1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программам высшего образования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536A0" w:rsidRPr="00C303E0" w:rsidRDefault="00F536A0" w:rsidP="006F1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7,5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536A0" w:rsidRPr="00C303E0" w:rsidRDefault="00F536A0" w:rsidP="006F1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7,0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536A0" w:rsidRPr="00C303E0" w:rsidRDefault="00F536A0" w:rsidP="006F1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22,0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536A0" w:rsidRPr="00C303E0" w:rsidRDefault="00F536A0" w:rsidP="006F1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9,0 </w:t>
            </w:r>
          </w:p>
        </w:tc>
      </w:tr>
      <w:tr w:rsidR="00F536A0" w:rsidRPr="00C303E0" w:rsidTr="00F536A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536A0" w:rsidRPr="00C303E0" w:rsidRDefault="00F536A0" w:rsidP="006F1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программам аспирантуры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536A0" w:rsidRPr="00C303E0" w:rsidRDefault="00F536A0" w:rsidP="006F1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7,0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536A0" w:rsidRPr="00C303E0" w:rsidRDefault="00F536A0" w:rsidP="006F1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9,0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536A0" w:rsidRPr="00C303E0" w:rsidRDefault="00F536A0" w:rsidP="006F1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—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536A0" w:rsidRPr="00C303E0" w:rsidRDefault="00F536A0" w:rsidP="006F1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7,0 </w:t>
            </w:r>
          </w:p>
        </w:tc>
      </w:tr>
    </w:tbl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textWrapping" w:clear="all"/>
      </w: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textWrapping" w:clear="all"/>
      </w:r>
    </w:p>
    <w:p w:rsidR="00F536A0" w:rsidRPr="00C303E0" w:rsidRDefault="006F1D2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154.35pt;height:.75pt" o:hrpct="330" o:hrstd="t" o:hr="t" fillcolor="#a0a0a0" stroked="f"/>
        </w:pic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чем длительнее период, включенный в ретроспективный анализ, тем точнее будут рассчитаны значения процентов выбытия. Данные проценты являются неким оптимумом, отклонение от которого в большую сторону приведет к занижению планируемых показателей объема государственных услуг либо, в противном случае, к завышению.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практике возможно несколько вариантов использования процентов выбытия: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единый процент выбытия (отсева) для всех учреждений, реализующих одну и ту же услугу;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индивидуальный процент выбытия, не превышающий оптимального процента.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 случае использования единого процента выбытия необходимо учитывать следующие особенности: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Анализ данных в динамике может выявить, что в рамках одного учреждения из года в год число выбывших в процентном соотношении от списочной численности потребителей услуг сильно меняется. Например, по </w:t>
      </w: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образовательным организациям СПО в «Учреждении 1» в 2016 годы процент отсева был почти в два раза выше по сравнению с 2017 годом (5,04% и 2,44% соответственно) (рисунок). Аналогичная ситуация с разрывом значений в два раза и выше наблюдается по 15 учреждениям СПО из 49 проанализированных. Таким образом, для установления единого процента выбытия в нормативных правовых документах того или иного уровня власти должен быть предусмотрен коридор возможных отклонений значений показателей объема, в рамках которого государственное (муниципальное) задание считается выполненным. Если такой коридор не установлен, то более точным при планировании среднегодового контингента будет подход использования индивидуального процента выбытия.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Выявленный высокий разброс значений процента отсева потребителей услуг в рамках одного государственного (муниципального) учреждения в динамике (в случае большого числа учреждений с высоким разбросом в общей анализируемой выборке) косвенно и по факту также будет означать, что применение нескольких значений процента выбытия для установленных групп учреждений (единый процент выбытия в рамках соответствующей группы) также нецелесообразно.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тезис может быть проиллюстрирован в рассматриваемом примере по результатам анализа процента </w:t>
      </w:r>
      <w:proofErr w:type="gram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выбытия</w:t>
      </w:r>
      <w:proofErr w:type="gram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 по независящим от образовательных организаций СПО причинам. Так, проанализированные образовательные организации не сохраняют из года в год свое место в той или иной группе учреждений. Например, при формировании трех групп учреждений (I группа: до 5% отсева, II группа: от 5 до 10% отсева, III группа: от 10 до 15% отсева) их состав в анализируемый период из года в год менялся. В 2016 году в I группу входило 25 из 49 анализируемых учреждений СПО, в 2017 году в нее входило уже 29 учреждений, в 2018 году (по состоянию за девять месяцев) — 31. С остальными группами ситуация аналогичная как по составу, так и по числу учреждений.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можно сделать вывод, что в условиях высокого разброса значений показателей процента выбытия (отсева) как между учреждениями, так и по одному учреждению в динамике целесообразно использовать вариант ежегодного расчета индивидуальных процентов выбытия, но не выше оптимального уровня, определенного методом ретроспективного анализа за как можно более длительный период. В </w:t>
      </w:r>
      <w:r w:rsidR="005E2BFB"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случае,</w:t>
      </w: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разброс значений показателей процента выбытия (отсева) низкий, целесообразно применять единый процент выбытия (отсева) для всех учреждений (или для групп учреждений), реализующих одну и ту же услугу. </w:t>
      </w:r>
    </w:p>
    <w:p w:rsidR="00883452" w:rsidRPr="00C303E0" w:rsidRDefault="00883452" w:rsidP="00C303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3452" w:rsidRPr="00C303E0" w:rsidRDefault="00883452" w:rsidP="00C303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3E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0" distR="0" simplePos="0" relativeHeight="251658752" behindDoc="0" locked="0" layoutInCell="1" allowOverlap="0" wp14:anchorId="67ACD0E6" wp14:editId="6BD6FDA4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4762500" cy="1885950"/>
            <wp:effectExtent l="0" t="0" r="0" b="0"/>
            <wp:wrapSquare wrapText="bothSides"/>
            <wp:docPr id="3" name="Рисунок 3" descr="77.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77.pn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3452" w:rsidRPr="00C303E0" w:rsidRDefault="00883452" w:rsidP="00C303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3452" w:rsidRPr="00C303E0" w:rsidRDefault="00883452" w:rsidP="00C303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3452" w:rsidRPr="00C303E0" w:rsidRDefault="00883452" w:rsidP="00C303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3452" w:rsidRPr="00C303E0" w:rsidRDefault="00883452" w:rsidP="00C303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3452" w:rsidRPr="00C303E0" w:rsidRDefault="00883452" w:rsidP="00C303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3452" w:rsidRPr="00C303E0" w:rsidRDefault="00883452" w:rsidP="00C303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36A0" w:rsidRPr="00C303E0" w:rsidRDefault="006F1D2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r:id="rId13" w:history="1">
        <w:r w:rsidR="00F536A0" w:rsidRPr="00C303E0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Рисунок. Пример анализа выбывших в процентном соотношении от списочной численности учащихся по государственным образовательным организациям СПО</w:t>
        </w:r>
      </w:hyperlink>
    </w:p>
    <w:p w:rsidR="00883452" w:rsidRPr="00C303E0" w:rsidRDefault="00883452" w:rsidP="00C303E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2C3E50"/>
          <w:sz w:val="28"/>
          <w:szCs w:val="28"/>
          <w:lang w:eastAsia="ru-RU"/>
        </w:rPr>
      </w:pPr>
    </w:p>
    <w:p w:rsidR="00F536A0" w:rsidRPr="00C303E0" w:rsidRDefault="00F536A0" w:rsidP="00C303E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2C3E50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b/>
          <w:bCs/>
          <w:caps/>
          <w:color w:val="2C3E50"/>
          <w:sz w:val="28"/>
          <w:szCs w:val="28"/>
          <w:lang w:eastAsia="ru-RU"/>
        </w:rPr>
        <w:t>В ущерб нормативному методу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показателей объема государственных (муниципальных) услуг напрямую влияет на величину субсидии на финансовое обеспечение выполнения государственного задания, с одной стороны, и косвенно на размер базовых нормативов, с другой стороны. Причина влияния значений показателей объема на размер базовых нормативов в том, что в расчете нормативов учитывается такой параметр, как количество потребителей, получающих ту или иную услугу совместно. Например, наполняемость классов, групп в образовании, вместимость зрительных залов, численность экскурсионных групп в культуре и т. п. Совершенствование методологии определения нормативных затрат на оказание 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необходимым условием для повышения прозрачности планирования бюджета в части финансового обеспечения выполнения 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госзадания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экономической обоснованности базовых нормативов и применяемых к ним корректирующих коэффициентов.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Большинство субъектов РФ и муниципальных образований используют общий методологический подход при определении нормативных затрат, закрепленный в общих требованиях в соответствующей сфере</w:t>
      </w:r>
      <w:hyperlink r:id="rId14" w:history="1">
        <w:r w:rsidRPr="00C303E0">
          <w:rPr>
            <w:rFonts w:ascii="Times New Roman" w:eastAsia="Times New Roman" w:hAnsi="Times New Roman" w:cs="Times New Roman"/>
            <w:color w:val="005B8B"/>
            <w:sz w:val="28"/>
            <w:szCs w:val="28"/>
            <w:vertAlign w:val="superscript"/>
            <w:lang w:eastAsia="ru-RU"/>
          </w:rPr>
          <w:t>[4]</w:t>
        </w:r>
      </w:hyperlink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без конкретизации применяемых методов при расчете базовых нормативов и корректирующих коэффициентов к ним. Кроме того, на региональном и муниципальном уровнях зачастую отсутствуют документы, устанавливающие натуральные нормы потребления товаров и услуг, необходимые для оказания услуг в рамках выполнения 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госзадания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этом важно, чтобы такие нормы не устанавливались индивидуально по конкретным государственным (муниципальным) учреждениям</w:t>
      </w:r>
      <w:hyperlink r:id="rId15" w:history="1">
        <w:r w:rsidRPr="00C303E0">
          <w:rPr>
            <w:rFonts w:ascii="Times New Roman" w:eastAsia="Times New Roman" w:hAnsi="Times New Roman" w:cs="Times New Roman"/>
            <w:color w:val="005B8B"/>
            <w:sz w:val="28"/>
            <w:szCs w:val="28"/>
            <w:vertAlign w:val="superscript"/>
            <w:lang w:eastAsia="ru-RU"/>
          </w:rPr>
          <w:t>[5]</w:t>
        </w:r>
      </w:hyperlink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Такая практика приводит к массовому применению медианного метода и метода наиболее эффективного учреждения при определении нормативных затрат как основных в ущерб нормативному методу, который опирается на натуральные нормы, нормативы и стандарты. Это, в свою очередь, приводит к низкому уровню обоснования базовых нормативов и корректирующих коэффициентов.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многолетнюю региональную и муниципальную практику применения при определении субсидии на финансовое обеспечение выполнения 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госзадания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базовых нормативов затрат, отраслевых и территориальных корректирующих коэффициентов в отраслях социальной сферы уже были реализованы меры по повышению эффективности бюджетных расходов через использование механизма нормативного финансирования, и по факту уровень финансового обеспечения является оптимальным. Но при этом из года в год у органов власти возникают трудности в обосновании бюджетных расходов на выполнение 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госзадания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силу имеющегося сильного перекоса методов расчета в сторону применения усреднения (медианный метод) или минимизации затрат (метод наиболее эффективного учреждения). Таким образом, субъекты РФ и муниципальные образования основной задачей для себя в настоящее время видят сохранение общего уровня финансового обеспечения выполнения 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госзадания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обосновании нормативных затрат с учетом стандартов, норм и нормативов.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проблемой здесь является завышение в структуре нормативных затрат фонда оплаты труда при отсутствии установленных натуральных норм и нормативов. Такой перекос приводит в дальнейшем к следующим проблемам: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регулярной индексации оплаты труда норматив растет быстро, что может привести к росту стоимости платных услуг и сокращению внебюджетных поступлений;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редкой индексации оплаты труда учреждениям может не хватать средств, так как занимающие малую долю в нормативных затратах средства на материально-техническое обеспечение и коммунальные услуги даже при регулярной индексации будут давать низкий прирост к величине норматива, в то время как реальные затраты обычно выше.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Экономически обоснованный норматив с применением стандартов, норм и нормативов фактически приведет к оптимальной структуре нормативных затрат. Это, в свою очередь, облегчит ежегодную процедуру актуализации величин базовых нормативов и корректирующих коэффициентов как в плане учета меняющихся норм и стандартов, так и в случае проведения индексации отдельных статей расходов.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2C3E50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b/>
          <w:bCs/>
          <w:caps/>
          <w:color w:val="2C3E50"/>
          <w:sz w:val="28"/>
          <w:szCs w:val="28"/>
          <w:lang w:eastAsia="ru-RU"/>
        </w:rPr>
        <w:t>Установить правовым актом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использования натуральных норм и нормативов при расчете нормативных затрат необходимо с учетом региональных и местных особенностей такие нормы установить правовым актом. Эта мера позволит повысить прозрачность определения нормативных затрат при соблюдении определенных условий: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удобства поиска соответствующей нормы важно разработать единый документ. Он может как быть самостоятельным, так и являться приложением к действующему (например, приложение к Порядку определения нормативных затрат на оказание услуг (выполнение работ), применяемых при расчете объема субсидии на финансовое обеспечение выполнения государственного (муниципального) задания);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 должен охватывать все направления, которые необходимы для расчета норматива, чтобы была возможность обоснования всех затрат. </w:t>
      </w: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 случае использования норм международной, федеральной, региональной или местной практики эти значения будут утверждены собственным документом соответствующего органа власти;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 должен устанавливать понятные нормы для их дальнейшего использования в расчетах. Не должно быть норм вида «Норма расхода на содержание движимого имущества — одна услуга в год на один </w:t>
      </w:r>
      <w:proofErr w:type="gram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объект»</w:t>
      </w:r>
      <w:hyperlink r:id="rId16" w:history="1">
        <w:r w:rsidRPr="00C303E0">
          <w:rPr>
            <w:rFonts w:ascii="Times New Roman" w:eastAsia="Times New Roman" w:hAnsi="Times New Roman" w:cs="Times New Roman"/>
            <w:color w:val="005B8B"/>
            <w:sz w:val="28"/>
            <w:szCs w:val="28"/>
            <w:vertAlign w:val="superscript"/>
            <w:lang w:eastAsia="ru-RU"/>
          </w:rPr>
          <w:t>[</w:t>
        </w:r>
        <w:proofErr w:type="gramEnd"/>
        <w:r w:rsidRPr="00C303E0">
          <w:rPr>
            <w:rFonts w:ascii="Times New Roman" w:eastAsia="Times New Roman" w:hAnsi="Times New Roman" w:cs="Times New Roman"/>
            <w:color w:val="005B8B"/>
            <w:sz w:val="28"/>
            <w:szCs w:val="28"/>
            <w:vertAlign w:val="superscript"/>
            <w:lang w:eastAsia="ru-RU"/>
          </w:rPr>
          <w:t>6]</w:t>
        </w:r>
      </w:hyperlink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когда нет ясности в том, что это за услуга, сколько она может стоить, сколько объектов может быть у организации и т. д.;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 должен соответствовать действующему законодательству.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соблюдении перечисленных условий разработанный документ будет являться четким обоснованием планируемых нормативных затрат в части применяемых норм и нормативов.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2C3E50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b/>
          <w:bCs/>
          <w:caps/>
          <w:color w:val="2C3E50"/>
          <w:sz w:val="28"/>
          <w:szCs w:val="28"/>
          <w:lang w:eastAsia="ru-RU"/>
        </w:rPr>
        <w:t>Взаимодействие участников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Завершающим штрихом в комплексных мероприятиях по совершенствованию механизмов финансового обеспечения выполнения государственного (муниципального) задания является подготовка регламента взаимодействия участников в процессе планирования бюджета в части вопросов финансового обеспечения выполнения задания. Регламент, содержащий четкий перечень мероприятий, ответственных за их реализацию и сроки, позволит поддерживать непрерывную цепочку эффективного взаимодействия участников планирования бюджета. Это приведет к исключению размывания ответственности, затягивания и срыва сроков.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выделить следующие основные направления взаимодействия участников в процессе планирования бюджета в части вопросов финансового обеспечения выполнения 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госзадания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показателей объема 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ежегодная актуализация величин базовых нормативов затрат и корректирующих коэффициентов;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и утверждение 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госзаданий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объемов субсидий на финансовое обеспечение выполнения 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госзадания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подписание соглашений об их предоставлении;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корректировка показателей объема текущего года и уточнение величин субсидий на финансовое обеспечение выполнения </w:t>
      </w:r>
      <w:proofErr w:type="spellStart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госзадания</w:t>
      </w:r>
      <w:proofErr w:type="spellEnd"/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еще раз подчеркнем, что только при реализации всех перечисленных задач в комплексе будут достигнуты цели повышения эффективности и прозрачности бюджетных расходов при финансовом обеспечении выполнения государственного (муниципального) задания. Параллельно возрастет эффективность трудозатрат и временных ресурсов. </w:t>
      </w:r>
    </w:p>
    <w:p w:rsidR="00F536A0" w:rsidRPr="006F1D2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6F1D2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________________________________________________________</w:t>
      </w:r>
      <w:bookmarkStart w:id="0" w:name="_GoBack"/>
      <w:bookmarkEnd w:id="0"/>
    </w:p>
    <w:p w:rsidR="00883452" w:rsidRPr="00C303E0" w:rsidRDefault="006F1D2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hAnsi="Times New Roman" w:cs="Times New Roman"/>
          <w:sz w:val="28"/>
          <w:szCs w:val="28"/>
        </w:rPr>
        <w:fldChar w:fldCharType="begin"/>
      </w:r>
      <w:r w:rsidRPr="00C303E0">
        <w:rPr>
          <w:rFonts w:ascii="Times New Roman" w:hAnsi="Times New Roman" w:cs="Times New Roman"/>
          <w:sz w:val="28"/>
          <w:szCs w:val="28"/>
        </w:rPr>
        <w:instrText xml:space="preserve"> HYPERLINK "file:///C:\\Users\\ASUS\\D</w:instrText>
      </w:r>
      <w:r w:rsidRPr="00C303E0">
        <w:rPr>
          <w:rFonts w:ascii="Times New Roman" w:hAnsi="Times New Roman" w:cs="Times New Roman"/>
          <w:sz w:val="28"/>
          <w:szCs w:val="28"/>
        </w:rPr>
        <w:instrText xml:space="preserve">ownloads\\75.docx" </w:instrText>
      </w:r>
      <w:r w:rsidRPr="00C303E0">
        <w:rPr>
          <w:rFonts w:ascii="Times New Roman" w:hAnsi="Times New Roman" w:cs="Times New Roman"/>
          <w:sz w:val="28"/>
          <w:szCs w:val="28"/>
        </w:rPr>
        <w:fldChar w:fldCharType="separate"/>
      </w:r>
      <w:r w:rsidR="00883452" w:rsidRPr="00C303E0">
        <w:rPr>
          <w:rFonts w:ascii="Times New Roman" w:eastAsia="Times New Roman" w:hAnsi="Times New Roman" w:cs="Times New Roman"/>
          <w:color w:val="005B8B"/>
          <w:sz w:val="28"/>
          <w:szCs w:val="28"/>
          <w:vertAlign w:val="superscript"/>
          <w:lang w:eastAsia="ru-RU"/>
        </w:rPr>
        <w:t>[1]</w:t>
      </w:r>
      <w:r w:rsidRPr="00C303E0">
        <w:rPr>
          <w:rFonts w:ascii="Times New Roman" w:eastAsia="Times New Roman" w:hAnsi="Times New Roman" w:cs="Times New Roman"/>
          <w:color w:val="005B8B"/>
          <w:sz w:val="28"/>
          <w:szCs w:val="28"/>
          <w:vertAlign w:val="superscript"/>
          <w:lang w:eastAsia="ru-RU"/>
        </w:rPr>
        <w:fldChar w:fldCharType="end"/>
      </w:r>
      <w:r w:rsidR="00883452"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Письмо Министерства финансов СССР от 1 ноября 1973 года № 248. </w:t>
      </w:r>
    </w:p>
    <w:p w:rsidR="00883452" w:rsidRPr="00C303E0" w:rsidRDefault="006F1D2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7" w:history="1">
        <w:r w:rsidR="00883452" w:rsidRPr="00C303E0">
          <w:rPr>
            <w:rFonts w:ascii="Times New Roman" w:eastAsia="Times New Roman" w:hAnsi="Times New Roman" w:cs="Times New Roman"/>
            <w:color w:val="005B8B"/>
            <w:sz w:val="28"/>
            <w:szCs w:val="28"/>
            <w:vertAlign w:val="superscript"/>
            <w:lang w:eastAsia="ru-RU"/>
          </w:rPr>
          <w:t>[2]</w:t>
        </w:r>
      </w:hyperlink>
      <w:r w:rsidR="00883452"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Распоряжение Министерства образования и науки РФ от 18 августа 2015 года № Р-129 «Об утверждении методики определения значений показателей, характеризующих объемы (качество) государственных услуг (работ) в сфере образования, науки и молодежной политики, оказываемых (выполняемых) федеральными государственными </w:t>
      </w:r>
      <w:r w:rsidR="00883452"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учреждениями, находящимися в ведении Министерства образования и науки Российской Федерации, при формировании государственного задания на очередной финансовый год и плановый период». </w:t>
      </w:r>
    </w:p>
    <w:p w:rsidR="00883452" w:rsidRPr="00C303E0" w:rsidRDefault="006F1D2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8" w:history="1">
        <w:r w:rsidR="00F536A0" w:rsidRPr="00C303E0">
          <w:rPr>
            <w:rFonts w:ascii="Times New Roman" w:eastAsia="Times New Roman" w:hAnsi="Times New Roman" w:cs="Times New Roman"/>
            <w:color w:val="005B8B"/>
            <w:sz w:val="28"/>
            <w:szCs w:val="28"/>
            <w:vertAlign w:val="superscript"/>
            <w:lang w:eastAsia="ru-RU"/>
          </w:rPr>
          <w:t>[3]</w:t>
        </w:r>
      </w:hyperlink>
      <w:proofErr w:type="gramStart"/>
      <w:r w:rsidR="00F536A0"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Например</w:t>
      </w:r>
      <w:proofErr w:type="gramEnd"/>
      <w:r w:rsidR="00F536A0"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6% в Ярославской области: приказ Департамента образования Ярославской области от 4 марта 2013 года № 07-нп «Об утверждении методик оценки потребности в государственных услугах». </w:t>
      </w:r>
    </w:p>
    <w:p w:rsidR="00883452" w:rsidRPr="00C303E0" w:rsidRDefault="006F1D2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9" w:history="1">
        <w:r w:rsidR="00F536A0" w:rsidRPr="00C303E0">
          <w:rPr>
            <w:rFonts w:ascii="Times New Roman" w:eastAsia="Times New Roman" w:hAnsi="Times New Roman" w:cs="Times New Roman"/>
            <w:color w:val="005B8B"/>
            <w:sz w:val="28"/>
            <w:szCs w:val="28"/>
            <w:vertAlign w:val="superscript"/>
            <w:lang w:eastAsia="ru-RU"/>
          </w:rPr>
          <w:t>[4]</w:t>
        </w:r>
      </w:hyperlink>
      <w:r w:rsidR="00F536A0"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Например, приказ </w:t>
      </w:r>
      <w:proofErr w:type="spellStart"/>
      <w:r w:rsidR="00F536A0"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="00F536A0"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 22 сентября 2015 года № 1040 «Об утверждении общих требований… в сфере образования, науки и молодежной политики…», приказ Минкультуры России от 9 июня 2015 года № 1762 «Об утверждении общих требований… в сфере культуры, кинематографии, архивного дела…», приказ </w:t>
      </w:r>
      <w:proofErr w:type="spellStart"/>
      <w:r w:rsidR="00F536A0"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Минспорта</w:t>
      </w:r>
      <w:proofErr w:type="spellEnd"/>
      <w:r w:rsidR="00F536A0"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 22 мая 2015 года № 550 «Об утверждении общих требований… в сфере физической культуры и спорта», приказ Минтруда России от 13 июля 2015 года № 445н «Об утверждении общих требований… в сфере социальной защиты населения…». </w:t>
      </w:r>
    </w:p>
    <w:p w:rsidR="00883452" w:rsidRPr="00C303E0" w:rsidRDefault="006F1D2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0" w:history="1">
        <w:r w:rsidR="00F536A0" w:rsidRPr="00C303E0">
          <w:rPr>
            <w:rFonts w:ascii="Times New Roman" w:eastAsia="Times New Roman" w:hAnsi="Times New Roman" w:cs="Times New Roman"/>
            <w:color w:val="005B8B"/>
            <w:sz w:val="28"/>
            <w:szCs w:val="28"/>
            <w:vertAlign w:val="superscript"/>
            <w:lang w:eastAsia="ru-RU"/>
          </w:rPr>
          <w:t>[5]</w:t>
        </w:r>
      </w:hyperlink>
      <w:r w:rsidR="00F536A0"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Пример таких натуральных норм в том или ином объеме можно обнаружить в таких документах, как постановление Правительства Республики Саха (Якутия) от 25 мая 2006 года № 218 «О нормативных расходах на содержание учреждений образования, здравоохранения, культуры, социального обслуживания, физической культуры и спорта, получающих финансирование из государственного бюджета Республики Саха (Якутия)», распоряжение Министерства образования Московской области от 14 декабря 2015 года № 28 «Об утверждении норм потребления товаров и услуг, необходимых для оказания государственных услуг (выполнения работ) государственными образовательными организациями Московской области, подведомственными Министерству образования Московской области». </w:t>
      </w:r>
    </w:p>
    <w:p w:rsidR="00F536A0" w:rsidRPr="00C303E0" w:rsidRDefault="006F1D2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1" w:history="1">
        <w:r w:rsidR="00F536A0" w:rsidRPr="00C303E0">
          <w:rPr>
            <w:rFonts w:ascii="Times New Roman" w:eastAsia="Times New Roman" w:hAnsi="Times New Roman" w:cs="Times New Roman"/>
            <w:color w:val="005B8B"/>
            <w:sz w:val="28"/>
            <w:szCs w:val="28"/>
            <w:vertAlign w:val="superscript"/>
            <w:lang w:eastAsia="ru-RU"/>
          </w:rPr>
          <w:t>[6]</w:t>
        </w:r>
      </w:hyperlink>
      <w:r w:rsidR="00F536A0"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Подобные нормы, например, есть в распоряжении Министерства образования Московской области от 14 декабря 2015 года № 28 «Об утверждении норм потребления товаров и услуг, необходимых для оказания государственных услуг (выполнения работ) государственными образовательными организациями Московской области, подведомственными Министерству образования Московской области».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F536A0" w:rsidRPr="00C303E0" w:rsidRDefault="00F536A0" w:rsidP="00C30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textWrapping" w:clear="all"/>
      </w: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textWrapping" w:clear="all"/>
      </w: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textWrapping" w:clear="all"/>
      </w:r>
      <w:r w:rsidRPr="00C303E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textWrapping" w:clear="all"/>
      </w:r>
    </w:p>
    <w:p w:rsidR="00984ACF" w:rsidRPr="00C303E0" w:rsidRDefault="00984ACF" w:rsidP="00C303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84ACF" w:rsidRPr="00C30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782"/>
    <w:rsid w:val="005E2BFB"/>
    <w:rsid w:val="006F1D20"/>
    <w:rsid w:val="00883452"/>
    <w:rsid w:val="008D6782"/>
    <w:rsid w:val="00984ACF"/>
    <w:rsid w:val="00C303E0"/>
    <w:rsid w:val="00F5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AAFCA5-586D-4179-B067-951D4EF2E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536A0"/>
    <w:pPr>
      <w:spacing w:before="300" w:after="300" w:line="240" w:lineRule="auto"/>
      <w:outlineLvl w:val="0"/>
    </w:pPr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36A0"/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styleId="a3">
    <w:name w:val="Hyperlink"/>
    <w:basedOn w:val="a0"/>
    <w:uiPriority w:val="99"/>
    <w:semiHidden/>
    <w:unhideWhenUsed/>
    <w:rsid w:val="00F536A0"/>
    <w:rPr>
      <w:color w:val="005B8B"/>
      <w:u w:val="single"/>
    </w:rPr>
  </w:style>
  <w:style w:type="paragraph" w:styleId="a4">
    <w:name w:val="Normal (Web)"/>
    <w:basedOn w:val="a"/>
    <w:uiPriority w:val="99"/>
    <w:semiHidden/>
    <w:unhideWhenUsed/>
    <w:rsid w:val="00F536A0"/>
    <w:pPr>
      <w:spacing w:before="120" w:after="16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7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9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6918">
          <w:marLeft w:val="30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461930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SUS\Downloads\75.docx" TargetMode="External"/><Relationship Id="rId13" Type="http://schemas.openxmlformats.org/officeDocument/2006/relationships/hyperlink" Target="http://bujet.ru/upload/iblock/332/77.png" TargetMode="External"/><Relationship Id="rId18" Type="http://schemas.openxmlformats.org/officeDocument/2006/relationships/hyperlink" Target="file:///C:\Users\ASUS\Downloads\75.docx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C:\Users\ASUS\Downloads\75.docx" TargetMode="External"/><Relationship Id="rId7" Type="http://schemas.openxmlformats.org/officeDocument/2006/relationships/hyperlink" Target="http://bujet.ru/article/367261.php?print=Y" TargetMode="External"/><Relationship Id="rId12" Type="http://schemas.openxmlformats.org/officeDocument/2006/relationships/image" Target="media/image1.png"/><Relationship Id="rId17" Type="http://schemas.openxmlformats.org/officeDocument/2006/relationships/hyperlink" Target="file:///C:\Users\ASUS\Downloads\75.docx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C:\Users\ASUS\Downloads\75.docx" TargetMode="External"/><Relationship Id="rId20" Type="http://schemas.openxmlformats.org/officeDocument/2006/relationships/hyperlink" Target="file:///C:\Users\ASUS\Downloads\75.docx" TargetMode="External"/><Relationship Id="rId1" Type="http://schemas.openxmlformats.org/officeDocument/2006/relationships/styles" Target="styles.xml"/><Relationship Id="rId6" Type="http://schemas.openxmlformats.org/officeDocument/2006/relationships/hyperlink" Target="http://bujet.ru/magazine/2019/2/" TargetMode="External"/><Relationship Id="rId11" Type="http://schemas.openxmlformats.org/officeDocument/2006/relationships/hyperlink" Target="http://bujet.ru/upload/iblock/332/77.png" TargetMode="External"/><Relationship Id="rId5" Type="http://schemas.openxmlformats.org/officeDocument/2006/relationships/hyperlink" Target="http://bujet.ru/whitepages/75354.php" TargetMode="External"/><Relationship Id="rId15" Type="http://schemas.openxmlformats.org/officeDocument/2006/relationships/hyperlink" Target="file:///C:\Users\ASUS\Downloads\75.docx" TargetMode="External"/><Relationship Id="rId23" Type="http://schemas.openxmlformats.org/officeDocument/2006/relationships/theme" Target="theme/theme1.xml"/><Relationship Id="rId10" Type="http://schemas.openxmlformats.org/officeDocument/2006/relationships/hyperlink" Target="file:///C:\Users\ASUS\Downloads\75.docx" TargetMode="External"/><Relationship Id="rId19" Type="http://schemas.openxmlformats.org/officeDocument/2006/relationships/hyperlink" Target="file:///C:\Users\ASUS\Downloads\75.docx" TargetMode="External"/><Relationship Id="rId4" Type="http://schemas.openxmlformats.org/officeDocument/2006/relationships/hyperlink" Target="http://bujet.ru/lenta/t507.php" TargetMode="External"/><Relationship Id="rId9" Type="http://schemas.openxmlformats.org/officeDocument/2006/relationships/hyperlink" Target="file:///C:\Users\ASUS\Downloads\75.docx" TargetMode="External"/><Relationship Id="rId14" Type="http://schemas.openxmlformats.org/officeDocument/2006/relationships/hyperlink" Target="file:///C:\Users\ASUS\Downloads\75.doc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3417</Words>
  <Characters>19477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2019-03-08T05:23:00Z</dcterms:created>
  <dcterms:modified xsi:type="dcterms:W3CDTF">2019-03-10T16:34:00Z</dcterms:modified>
</cp:coreProperties>
</file>