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B1" w:rsidRPr="008B4BD9" w:rsidRDefault="00E041B1" w:rsidP="00E041B1">
      <w:pPr>
        <w:widowControl w:val="0"/>
        <w:jc w:val="center"/>
        <w:rPr>
          <w:rFonts w:ascii="PT Astra Serif" w:eastAsia="Calibri" w:hAnsi="PT Astra Serif"/>
          <w:b/>
          <w:szCs w:val="28"/>
          <w:lang w:eastAsia="en-US"/>
        </w:rPr>
      </w:pPr>
      <w:r w:rsidRPr="008B4BD9">
        <w:rPr>
          <w:rFonts w:ascii="PT Astra Serif" w:eastAsia="Calibri" w:hAnsi="PT Astra Serif"/>
          <w:b/>
          <w:szCs w:val="28"/>
          <w:lang w:eastAsia="en-US"/>
        </w:rPr>
        <w:t>Доклад</w:t>
      </w:r>
    </w:p>
    <w:p w:rsidR="00344ABE" w:rsidRDefault="00E041B1" w:rsidP="00344ABE">
      <w:pPr>
        <w:widowControl w:val="0"/>
        <w:jc w:val="center"/>
        <w:rPr>
          <w:rFonts w:ascii="PT Astra Serif" w:hAnsi="PT Astra Serif"/>
          <w:b/>
          <w:bCs/>
          <w:szCs w:val="28"/>
          <w:lang w:eastAsia="ar-SA"/>
        </w:rPr>
      </w:pPr>
      <w:r w:rsidRPr="008B4BD9">
        <w:rPr>
          <w:rFonts w:ascii="PT Astra Serif" w:eastAsia="Calibri" w:hAnsi="PT Astra Serif"/>
          <w:b/>
          <w:szCs w:val="28"/>
          <w:lang w:eastAsia="en-US"/>
        </w:rPr>
        <w:t xml:space="preserve">министра финансов области </w:t>
      </w:r>
      <w:proofErr w:type="spellStart"/>
      <w:r w:rsidRPr="008B4BD9">
        <w:rPr>
          <w:rFonts w:ascii="PT Astra Serif" w:eastAsia="Calibri" w:hAnsi="PT Astra Serif"/>
          <w:b/>
          <w:szCs w:val="28"/>
          <w:lang w:eastAsia="en-US"/>
        </w:rPr>
        <w:t>Бегининой</w:t>
      </w:r>
      <w:proofErr w:type="spellEnd"/>
      <w:r w:rsidRPr="008B4BD9">
        <w:rPr>
          <w:rFonts w:ascii="PT Astra Serif" w:eastAsia="Calibri" w:hAnsi="PT Astra Serif"/>
          <w:b/>
          <w:szCs w:val="28"/>
          <w:lang w:eastAsia="en-US"/>
        </w:rPr>
        <w:t xml:space="preserve"> И.С. на публичных слушаниях  «</w:t>
      </w:r>
      <w:r w:rsidR="00344ABE" w:rsidRPr="00344ABE">
        <w:rPr>
          <w:rFonts w:ascii="PT Astra Serif" w:hAnsi="PT Astra Serif"/>
          <w:b/>
          <w:bCs/>
          <w:szCs w:val="28"/>
          <w:lang w:eastAsia="ar-SA"/>
        </w:rPr>
        <w:t xml:space="preserve">О проекте закона Саратовской области </w:t>
      </w:r>
    </w:p>
    <w:p w:rsidR="00E041B1" w:rsidRPr="008B4BD9" w:rsidRDefault="00344ABE" w:rsidP="00344ABE">
      <w:pPr>
        <w:widowControl w:val="0"/>
        <w:jc w:val="center"/>
        <w:rPr>
          <w:rFonts w:ascii="PT Astra Serif" w:hAnsi="PT Astra Serif"/>
          <w:b/>
          <w:szCs w:val="28"/>
          <w:lang w:eastAsia="ar-SA"/>
        </w:rPr>
      </w:pPr>
      <w:r w:rsidRPr="00344ABE">
        <w:rPr>
          <w:rFonts w:ascii="PT Astra Serif" w:hAnsi="PT Astra Serif"/>
          <w:b/>
          <w:bCs/>
          <w:szCs w:val="28"/>
          <w:lang w:eastAsia="ar-SA"/>
        </w:rPr>
        <w:t>«Об исполнения областного бюджета за 2022 год</w:t>
      </w:r>
      <w:r w:rsidR="00E041B1" w:rsidRPr="008B4BD9">
        <w:rPr>
          <w:rFonts w:ascii="PT Astra Serif" w:hAnsi="PT Astra Serif"/>
          <w:b/>
          <w:szCs w:val="28"/>
          <w:lang w:eastAsia="ar-SA"/>
        </w:rPr>
        <w:t xml:space="preserve">» </w:t>
      </w:r>
    </w:p>
    <w:p w:rsidR="00E041B1" w:rsidRPr="008B4BD9" w:rsidRDefault="00E041B1" w:rsidP="0010347D">
      <w:pPr>
        <w:ind w:left="5103"/>
        <w:rPr>
          <w:rFonts w:ascii="PT Astra Serif" w:hAnsi="PT Astra Serif"/>
          <w:b/>
          <w:i/>
          <w:sz w:val="24"/>
        </w:rPr>
      </w:pPr>
    </w:p>
    <w:p w:rsidR="0010347D" w:rsidRPr="008B4BD9" w:rsidRDefault="0010347D" w:rsidP="0010347D">
      <w:pPr>
        <w:jc w:val="center"/>
        <w:rPr>
          <w:rFonts w:ascii="PT Astra Serif" w:hAnsi="PT Astra Serif"/>
          <w:b/>
          <w:szCs w:val="28"/>
        </w:rPr>
      </w:pPr>
    </w:p>
    <w:p w:rsidR="0010347D" w:rsidRDefault="0010347D" w:rsidP="0010347D">
      <w:pPr>
        <w:jc w:val="center"/>
        <w:rPr>
          <w:rFonts w:ascii="PT Astra Serif" w:hAnsi="PT Astra Serif"/>
          <w:b/>
          <w:szCs w:val="28"/>
        </w:rPr>
      </w:pPr>
      <w:r w:rsidRPr="008B4BD9">
        <w:rPr>
          <w:rFonts w:ascii="PT Astra Serif" w:hAnsi="PT Astra Serif"/>
          <w:b/>
          <w:szCs w:val="28"/>
        </w:rPr>
        <w:t>Уважаемые участники слушаний!</w:t>
      </w:r>
    </w:p>
    <w:p w:rsidR="008B4BD9" w:rsidRDefault="008B4BD9" w:rsidP="0010347D">
      <w:pPr>
        <w:jc w:val="center"/>
        <w:rPr>
          <w:rFonts w:ascii="PT Astra Serif" w:hAnsi="PT Astra Serif"/>
          <w:b/>
          <w:szCs w:val="28"/>
        </w:rPr>
      </w:pP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По итогам 2022 года достигнута положительная динамика большинства бюджетных показателей. В областной бюджет поступило 97,1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 налоговых и неналоговых доходов. По сравнению с 2021 годом их совокупный объем увеличился на 10,8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рублей, или на 12,6%. По темпам роста доходов регион занял 8-е место в Приволжском округе и 47-е – по России.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Налог на прибыль организаций исполнен в сумме 30,8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рублей, рост к прошлому году составил 1,2 млрд рублей, или 4,1%. С опережающей учтенную в параметрах бюджета динамикой поступил налог на доходы физических лиц, который вырос на 4,3 млрд рублей, до 31,8 млрд рублей и обеспечил треть общего объема налоговых и неналоговых доходов областного  бюджета. </w:t>
      </w:r>
      <w:bookmarkStart w:id="0" w:name="_GoBack"/>
      <w:bookmarkEnd w:id="0"/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Положительная тенденция отмечена также по акцизам, которые увеличились на 7,4%, налогу на имущество организаций – 20,1%, специальным налоговым режимам – в 1,3 раза. 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Рост по неналоговым доходам в 1,6 раза относительно 2021 года обеспечен, преимущественно, за счет доходов от использования имущества. От операций по управлению остатками средств бюджета, находящимися на едином казначейском счете, дополнительно получено 1,2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рублей. 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Из федерального бюджета перечислено 61,9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рублей.  Более чем на треть возросла целевая помощь. Относительно первоначальных назначений увеличение в течение года превысило 16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рублей. 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На обеспечение отраслей социальной сферы направлено 108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рублей, или более двух третей расходов бюджета. Рост относительно показателя предшествующего года – на 8,1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рублей.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>Своевременно и в полном объеме исполнены все обязательства социально значимого характера, в том числе по оплате труда работников бюджетной сферы, пособиям и выплатам отдельным категориям граждан и семьям с детьми, лекарственному обеспечению, платежам на обязательное медицинское страхование  (ОМС) неработающего населения и иным важным статьям.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Изысканы средства на повышение целевых ориентиров по заработной плате работников бюджетной сферы в рамках «майских» указов 2012 года. В среднем они выросли с 1 сентября на 13,4%, что потребовало дополнительно 2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рублей.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В рамках национальных проектов израсходовано 28,4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рублей, что на 37,6% выше 2021 года. Наибольшие объемы приходятся на проекты «Демография», «Здравоохранение», «Жилье и городская среда», «Безопасные </w:t>
      </w:r>
      <w:r w:rsidRPr="00344ABE">
        <w:rPr>
          <w:rFonts w:ascii="PT Astra Serif" w:eastAsiaTheme="minorEastAsia" w:hAnsi="PT Astra Serif" w:cstheme="minorBidi"/>
          <w:szCs w:val="28"/>
        </w:rPr>
        <w:lastRenderedPageBreak/>
        <w:t xml:space="preserve">качественные дороги». Реализация нацпроектов обеспечила положительную динамику по расходам инвестиционного характера. Объем областной адресной инвестиционной программы увеличился практически в 2 раза и достиг 14,4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Муниципальным образованиям предоставлены межбюджетные трансферты в объеме 49,5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рублей, или около трети расходов областного бюджета. Рост к 2021 году на 11,4%, или 5,1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рублей. В течение года финансовая помощь была увеличена в целом на 11,9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рублей.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На реализацию инициативных проектов граждан муниципальным образованиям направлено 138,5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млн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 областной субсидии. Общая стоимость проектов превысила 202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млн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рублей. 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>Благодаря поддержке федерального центра и высокой динамике налоговых и неналоговых доходов областной бюджет в прошлом году исполнен без дефицита, что позволило отказаться от привлечения кредитных ресурсов для его покрытия, которое ранее планировалось.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За счет федерального бюджетного кредита произведено замещение рыночных заимствований области в сумме 12,4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 и муниципальных образований – в сумме 2,8 млрд рублей. Реструктурирована задолженность области перед федеральным бюджетом с переносом сроков погашения на 2029 год.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Экономия по расходам на обслуживание государственного долга области в 2022 году составила 1,3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рублей. Высвободившиеся средства направлены на выполнение социально значимых обязательств перед жителями области.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Объем государственного внутреннего долга области на 1 января текущего года составил 59,3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рублей. Более 94% государственного долга приходится на «дешевые» бюджетные кредиты. Задолженности по банковским кредитам не имеется.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Долговая нагрузка на областной бюджет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находится на экономически безопасном уровне и соответствует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требованиям бюджетного законодательства. Рейтинг кредитоспособности области подтвержден на умеренно высоком уровне (</w:t>
      </w:r>
      <w:proofErr w:type="spellStart"/>
      <w:r w:rsidRPr="00344ABE">
        <w:rPr>
          <w:rFonts w:ascii="PT Astra Serif" w:eastAsiaTheme="minorEastAsia" w:hAnsi="PT Astra Serif" w:cstheme="minorBidi"/>
          <w:szCs w:val="28"/>
        </w:rPr>
        <w:t>ru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А</w:t>
      </w:r>
      <w:proofErr w:type="spellEnd"/>
      <w:r w:rsidRPr="00344ABE">
        <w:rPr>
          <w:rFonts w:ascii="PT Astra Serif" w:eastAsiaTheme="minorEastAsia" w:hAnsi="PT Astra Serif" w:cstheme="minorBidi"/>
          <w:szCs w:val="28"/>
        </w:rPr>
        <w:t>-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>) со стабильным прогнозом.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>В целом, исполнение областного бюджета за 2022 год сложилось в следующих объемах: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доходы – 163,6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рублей, или 100,9% годовых назначений (рост к предшествующему году на 12,6%, или 18,3 млрд рублей); </w:t>
      </w:r>
    </w:p>
    <w:p w:rsidR="00344ABE" w:rsidRPr="00344ABE" w:rsidRDefault="00344ABE" w:rsidP="00344ABE">
      <w:pPr>
        <w:ind w:firstLine="709"/>
        <w:jc w:val="both"/>
        <w:rPr>
          <w:rFonts w:ascii="PT Astra Serif" w:eastAsiaTheme="minorEastAsia" w:hAnsi="PT Astra Serif" w:cstheme="minorBidi"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расходы – 163,4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рублей, или 96,7% годовых назначений (рост на 15,7%, или на 22,1 млрд рублей);</w:t>
      </w:r>
    </w:p>
    <w:p w:rsidR="008B4BD9" w:rsidRPr="00344ABE" w:rsidRDefault="00344ABE" w:rsidP="00344ABE">
      <w:pPr>
        <w:ind w:firstLine="709"/>
        <w:jc w:val="both"/>
        <w:rPr>
          <w:rFonts w:ascii="PT Astra Serif" w:eastAsiaTheme="minorHAnsi" w:hAnsi="PT Astra Serif" w:cstheme="minorBidi"/>
          <w:b/>
          <w:bCs/>
          <w:szCs w:val="28"/>
        </w:rPr>
      </w:pPr>
      <w:r w:rsidRPr="00344ABE">
        <w:rPr>
          <w:rFonts w:ascii="PT Astra Serif" w:eastAsiaTheme="minorEastAsia" w:hAnsi="PT Astra Serif" w:cstheme="minorBidi"/>
          <w:szCs w:val="28"/>
        </w:rPr>
        <w:t xml:space="preserve">превышение доходов над расходами – 0,2 </w:t>
      </w:r>
      <w:proofErr w:type="gramStart"/>
      <w:r w:rsidRPr="00344ABE">
        <w:rPr>
          <w:rFonts w:ascii="PT Astra Serif" w:eastAsiaTheme="minorEastAsia" w:hAnsi="PT Astra Serif" w:cstheme="minorBidi"/>
          <w:szCs w:val="28"/>
        </w:rPr>
        <w:t>млрд</w:t>
      </w:r>
      <w:proofErr w:type="gramEnd"/>
      <w:r w:rsidRPr="00344ABE">
        <w:rPr>
          <w:rFonts w:ascii="PT Astra Serif" w:eastAsiaTheme="minorEastAsia" w:hAnsi="PT Astra Serif" w:cstheme="minorBidi"/>
          <w:szCs w:val="28"/>
        </w:rPr>
        <w:t xml:space="preserve"> рублей.</w:t>
      </w:r>
    </w:p>
    <w:p w:rsidR="008B4BD9" w:rsidRPr="008B4BD9" w:rsidRDefault="008B4BD9" w:rsidP="00647A28">
      <w:pPr>
        <w:jc w:val="center"/>
        <w:rPr>
          <w:rFonts w:ascii="PT Astra Serif" w:hAnsi="PT Astra Serif"/>
          <w:b/>
          <w:szCs w:val="28"/>
        </w:rPr>
      </w:pPr>
    </w:p>
    <w:sectPr w:rsidR="008B4BD9" w:rsidRPr="008B4BD9" w:rsidSect="0079781C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C24" w:rsidRDefault="003B5C24" w:rsidP="00BA75E3">
      <w:r>
        <w:separator/>
      </w:r>
    </w:p>
  </w:endnote>
  <w:endnote w:type="continuationSeparator" w:id="0">
    <w:p w:rsidR="003B5C24" w:rsidRDefault="003B5C24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C24" w:rsidRDefault="003B5C24" w:rsidP="00BA75E3">
      <w:r>
        <w:separator/>
      </w:r>
    </w:p>
  </w:footnote>
  <w:footnote w:type="continuationSeparator" w:id="0">
    <w:p w:rsidR="003B5C24" w:rsidRDefault="003B5C24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-1753888157"/>
      <w:docPartObj>
        <w:docPartGallery w:val="Page Numbers (Top of Page)"/>
        <w:docPartUnique/>
      </w:docPartObj>
    </w:sdtPr>
    <w:sdtEndPr/>
    <w:sdtContent>
      <w:p w:rsidR="00250025" w:rsidRPr="00BA75E3" w:rsidRDefault="00250025">
        <w:pPr>
          <w:pStyle w:val="a5"/>
          <w:jc w:val="right"/>
          <w:rPr>
            <w:sz w:val="24"/>
          </w:rPr>
        </w:pPr>
        <w:r w:rsidRPr="00BA75E3">
          <w:rPr>
            <w:sz w:val="24"/>
          </w:rPr>
          <w:fldChar w:fldCharType="begin"/>
        </w:r>
        <w:r w:rsidRPr="00BA75E3">
          <w:rPr>
            <w:sz w:val="24"/>
          </w:rPr>
          <w:instrText>PAGE   \* MERGEFORMAT</w:instrText>
        </w:r>
        <w:r w:rsidRPr="00BA75E3">
          <w:rPr>
            <w:sz w:val="24"/>
          </w:rPr>
          <w:fldChar w:fldCharType="separate"/>
        </w:r>
        <w:r w:rsidR="00344ABE">
          <w:rPr>
            <w:noProof/>
            <w:sz w:val="24"/>
          </w:rPr>
          <w:t>2</w:t>
        </w:r>
        <w:r w:rsidRPr="00BA75E3">
          <w:rPr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B3"/>
    <w:rsid w:val="0000596B"/>
    <w:rsid w:val="00005AB1"/>
    <w:rsid w:val="00021CAD"/>
    <w:rsid w:val="00025D82"/>
    <w:rsid w:val="00034C1F"/>
    <w:rsid w:val="00041C1D"/>
    <w:rsid w:val="00042244"/>
    <w:rsid w:val="00050F12"/>
    <w:rsid w:val="0005104B"/>
    <w:rsid w:val="00063BF9"/>
    <w:rsid w:val="0006518B"/>
    <w:rsid w:val="00065DEC"/>
    <w:rsid w:val="00074D57"/>
    <w:rsid w:val="0007612F"/>
    <w:rsid w:val="0007757E"/>
    <w:rsid w:val="00081F7D"/>
    <w:rsid w:val="00082585"/>
    <w:rsid w:val="000837C1"/>
    <w:rsid w:val="00087277"/>
    <w:rsid w:val="00094B01"/>
    <w:rsid w:val="000956B7"/>
    <w:rsid w:val="00095F75"/>
    <w:rsid w:val="00096A76"/>
    <w:rsid w:val="0009703A"/>
    <w:rsid w:val="000A2546"/>
    <w:rsid w:val="000A2AF7"/>
    <w:rsid w:val="000A67EE"/>
    <w:rsid w:val="000B009D"/>
    <w:rsid w:val="000B5FCA"/>
    <w:rsid w:val="000B6B19"/>
    <w:rsid w:val="000C1433"/>
    <w:rsid w:val="000D672E"/>
    <w:rsid w:val="000D6B3F"/>
    <w:rsid w:val="000D71A0"/>
    <w:rsid w:val="000E0266"/>
    <w:rsid w:val="000E0352"/>
    <w:rsid w:val="000E162C"/>
    <w:rsid w:val="0010057C"/>
    <w:rsid w:val="00101CA0"/>
    <w:rsid w:val="0010347D"/>
    <w:rsid w:val="00104FB4"/>
    <w:rsid w:val="00107233"/>
    <w:rsid w:val="001139D3"/>
    <w:rsid w:val="00116BD1"/>
    <w:rsid w:val="00124DFC"/>
    <w:rsid w:val="001314AA"/>
    <w:rsid w:val="00133477"/>
    <w:rsid w:val="00136780"/>
    <w:rsid w:val="00144A9A"/>
    <w:rsid w:val="00157975"/>
    <w:rsid w:val="00157ADC"/>
    <w:rsid w:val="001629E5"/>
    <w:rsid w:val="00175AD4"/>
    <w:rsid w:val="00192527"/>
    <w:rsid w:val="00195F43"/>
    <w:rsid w:val="001A2233"/>
    <w:rsid w:val="001A2DE1"/>
    <w:rsid w:val="001A5716"/>
    <w:rsid w:val="001A6BF4"/>
    <w:rsid w:val="001B00C7"/>
    <w:rsid w:val="001B0AAB"/>
    <w:rsid w:val="001B7182"/>
    <w:rsid w:val="001C502C"/>
    <w:rsid w:val="001D1AFF"/>
    <w:rsid w:val="001E12CD"/>
    <w:rsid w:val="001E186A"/>
    <w:rsid w:val="001E193F"/>
    <w:rsid w:val="001E341D"/>
    <w:rsid w:val="001E4670"/>
    <w:rsid w:val="001E5366"/>
    <w:rsid w:val="001E63BE"/>
    <w:rsid w:val="001F593E"/>
    <w:rsid w:val="001F7293"/>
    <w:rsid w:val="0020445C"/>
    <w:rsid w:val="0021444E"/>
    <w:rsid w:val="002440F0"/>
    <w:rsid w:val="00250025"/>
    <w:rsid w:val="0026355F"/>
    <w:rsid w:val="00264FB8"/>
    <w:rsid w:val="00272B3B"/>
    <w:rsid w:val="002750AE"/>
    <w:rsid w:val="00276174"/>
    <w:rsid w:val="00284E2F"/>
    <w:rsid w:val="00285F02"/>
    <w:rsid w:val="00286210"/>
    <w:rsid w:val="00293367"/>
    <w:rsid w:val="002A3098"/>
    <w:rsid w:val="002B2677"/>
    <w:rsid w:val="002C1FC5"/>
    <w:rsid w:val="002C38A9"/>
    <w:rsid w:val="002C4975"/>
    <w:rsid w:val="002C55DC"/>
    <w:rsid w:val="002E43B9"/>
    <w:rsid w:val="00304DA5"/>
    <w:rsid w:val="00305292"/>
    <w:rsid w:val="00307285"/>
    <w:rsid w:val="00315E61"/>
    <w:rsid w:val="00321F8E"/>
    <w:rsid w:val="00323C64"/>
    <w:rsid w:val="00323CB6"/>
    <w:rsid w:val="003274B2"/>
    <w:rsid w:val="00344ABE"/>
    <w:rsid w:val="0035044E"/>
    <w:rsid w:val="00352AD3"/>
    <w:rsid w:val="00356FA5"/>
    <w:rsid w:val="00361412"/>
    <w:rsid w:val="00361861"/>
    <w:rsid w:val="003639CB"/>
    <w:rsid w:val="0036616E"/>
    <w:rsid w:val="003712D0"/>
    <w:rsid w:val="00371CCE"/>
    <w:rsid w:val="0038211D"/>
    <w:rsid w:val="00383766"/>
    <w:rsid w:val="00391998"/>
    <w:rsid w:val="00395FF4"/>
    <w:rsid w:val="00396DE2"/>
    <w:rsid w:val="003A6179"/>
    <w:rsid w:val="003B5751"/>
    <w:rsid w:val="003B5C24"/>
    <w:rsid w:val="003D44FE"/>
    <w:rsid w:val="003D74B2"/>
    <w:rsid w:val="003F3DCD"/>
    <w:rsid w:val="00400CEC"/>
    <w:rsid w:val="00401540"/>
    <w:rsid w:val="00403EDB"/>
    <w:rsid w:val="00414314"/>
    <w:rsid w:val="00422833"/>
    <w:rsid w:val="00423F1A"/>
    <w:rsid w:val="00425FB5"/>
    <w:rsid w:val="00431227"/>
    <w:rsid w:val="00434038"/>
    <w:rsid w:val="00434101"/>
    <w:rsid w:val="00441650"/>
    <w:rsid w:val="004654A3"/>
    <w:rsid w:val="00467C38"/>
    <w:rsid w:val="00471327"/>
    <w:rsid w:val="004751B9"/>
    <w:rsid w:val="00487287"/>
    <w:rsid w:val="00487412"/>
    <w:rsid w:val="00490D61"/>
    <w:rsid w:val="00496067"/>
    <w:rsid w:val="004A1C66"/>
    <w:rsid w:val="004A6AD0"/>
    <w:rsid w:val="004B0BD1"/>
    <w:rsid w:val="004B5BCD"/>
    <w:rsid w:val="004C3867"/>
    <w:rsid w:val="004C3EC8"/>
    <w:rsid w:val="004C587A"/>
    <w:rsid w:val="004C6FBD"/>
    <w:rsid w:val="004C7954"/>
    <w:rsid w:val="004D788F"/>
    <w:rsid w:val="004D79A4"/>
    <w:rsid w:val="004F6CEF"/>
    <w:rsid w:val="00502AB7"/>
    <w:rsid w:val="005038A6"/>
    <w:rsid w:val="00506B4C"/>
    <w:rsid w:val="00507695"/>
    <w:rsid w:val="00514D4E"/>
    <w:rsid w:val="005163BA"/>
    <w:rsid w:val="005267D2"/>
    <w:rsid w:val="005339B0"/>
    <w:rsid w:val="00542813"/>
    <w:rsid w:val="00544E51"/>
    <w:rsid w:val="00550741"/>
    <w:rsid w:val="00561952"/>
    <w:rsid w:val="00573FE5"/>
    <w:rsid w:val="00590870"/>
    <w:rsid w:val="005A1E45"/>
    <w:rsid w:val="005A3DD1"/>
    <w:rsid w:val="005A468B"/>
    <w:rsid w:val="005B4A6F"/>
    <w:rsid w:val="005D3F5B"/>
    <w:rsid w:val="005D4935"/>
    <w:rsid w:val="005E238E"/>
    <w:rsid w:val="005E365A"/>
    <w:rsid w:val="005F3664"/>
    <w:rsid w:val="005F5D34"/>
    <w:rsid w:val="00605E91"/>
    <w:rsid w:val="0060718D"/>
    <w:rsid w:val="00610ACD"/>
    <w:rsid w:val="00611650"/>
    <w:rsid w:val="0061373B"/>
    <w:rsid w:val="0061512A"/>
    <w:rsid w:val="00626FCA"/>
    <w:rsid w:val="00630B45"/>
    <w:rsid w:val="00635FE9"/>
    <w:rsid w:val="00640501"/>
    <w:rsid w:val="00647A28"/>
    <w:rsid w:val="006661C2"/>
    <w:rsid w:val="00667BA1"/>
    <w:rsid w:val="00672B99"/>
    <w:rsid w:val="006771F3"/>
    <w:rsid w:val="0069424B"/>
    <w:rsid w:val="006A1F81"/>
    <w:rsid w:val="006B5443"/>
    <w:rsid w:val="006B6D22"/>
    <w:rsid w:val="006C35A9"/>
    <w:rsid w:val="006C69A1"/>
    <w:rsid w:val="006D07F9"/>
    <w:rsid w:val="006E6B62"/>
    <w:rsid w:val="006F1931"/>
    <w:rsid w:val="006F27B9"/>
    <w:rsid w:val="007008CB"/>
    <w:rsid w:val="00707F13"/>
    <w:rsid w:val="007137CE"/>
    <w:rsid w:val="00715C51"/>
    <w:rsid w:val="007218A3"/>
    <w:rsid w:val="00724688"/>
    <w:rsid w:val="0074737F"/>
    <w:rsid w:val="00757631"/>
    <w:rsid w:val="00761F2C"/>
    <w:rsid w:val="00763472"/>
    <w:rsid w:val="007635FC"/>
    <w:rsid w:val="00766BC3"/>
    <w:rsid w:val="00767B24"/>
    <w:rsid w:val="007708F7"/>
    <w:rsid w:val="007816AE"/>
    <w:rsid w:val="0078444C"/>
    <w:rsid w:val="0078741A"/>
    <w:rsid w:val="007929FA"/>
    <w:rsid w:val="00792AE5"/>
    <w:rsid w:val="0079781C"/>
    <w:rsid w:val="007A52D1"/>
    <w:rsid w:val="007B05E5"/>
    <w:rsid w:val="007C3593"/>
    <w:rsid w:val="007C4A56"/>
    <w:rsid w:val="007C698D"/>
    <w:rsid w:val="007D3197"/>
    <w:rsid w:val="007D753B"/>
    <w:rsid w:val="007D7BED"/>
    <w:rsid w:val="007E6709"/>
    <w:rsid w:val="007F2A68"/>
    <w:rsid w:val="007F2A6A"/>
    <w:rsid w:val="007F3721"/>
    <w:rsid w:val="008007D7"/>
    <w:rsid w:val="00804368"/>
    <w:rsid w:val="0081237D"/>
    <w:rsid w:val="00813D9A"/>
    <w:rsid w:val="00826474"/>
    <w:rsid w:val="00827C11"/>
    <w:rsid w:val="0083315A"/>
    <w:rsid w:val="0083484A"/>
    <w:rsid w:val="00835313"/>
    <w:rsid w:val="00837FBC"/>
    <w:rsid w:val="00843BB5"/>
    <w:rsid w:val="00845982"/>
    <w:rsid w:val="00847086"/>
    <w:rsid w:val="008500D9"/>
    <w:rsid w:val="00867F8F"/>
    <w:rsid w:val="008763F7"/>
    <w:rsid w:val="00886224"/>
    <w:rsid w:val="0088697E"/>
    <w:rsid w:val="00890107"/>
    <w:rsid w:val="00894E63"/>
    <w:rsid w:val="00896823"/>
    <w:rsid w:val="008A2FCB"/>
    <w:rsid w:val="008B2CFE"/>
    <w:rsid w:val="008B4BD9"/>
    <w:rsid w:val="008C0EC6"/>
    <w:rsid w:val="008D6402"/>
    <w:rsid w:val="008D7117"/>
    <w:rsid w:val="008E06F5"/>
    <w:rsid w:val="008E502F"/>
    <w:rsid w:val="008E625D"/>
    <w:rsid w:val="008F0E32"/>
    <w:rsid w:val="008F2254"/>
    <w:rsid w:val="008F3479"/>
    <w:rsid w:val="008F3DDC"/>
    <w:rsid w:val="008F43AE"/>
    <w:rsid w:val="008F54AE"/>
    <w:rsid w:val="00903CBE"/>
    <w:rsid w:val="00903E4E"/>
    <w:rsid w:val="00913C8F"/>
    <w:rsid w:val="00926B96"/>
    <w:rsid w:val="00931411"/>
    <w:rsid w:val="00937AFE"/>
    <w:rsid w:val="009434AD"/>
    <w:rsid w:val="00943974"/>
    <w:rsid w:val="00945D9E"/>
    <w:rsid w:val="00960B29"/>
    <w:rsid w:val="00964C36"/>
    <w:rsid w:val="00975D42"/>
    <w:rsid w:val="00977DBC"/>
    <w:rsid w:val="0098710E"/>
    <w:rsid w:val="0099099C"/>
    <w:rsid w:val="009922C4"/>
    <w:rsid w:val="009932DE"/>
    <w:rsid w:val="0099589A"/>
    <w:rsid w:val="009958D3"/>
    <w:rsid w:val="00997A5F"/>
    <w:rsid w:val="009A4FA2"/>
    <w:rsid w:val="009B1828"/>
    <w:rsid w:val="009B5F1C"/>
    <w:rsid w:val="009B7A36"/>
    <w:rsid w:val="009C6B9A"/>
    <w:rsid w:val="009D56F1"/>
    <w:rsid w:val="009E1BDB"/>
    <w:rsid w:val="009F1996"/>
    <w:rsid w:val="009F6E14"/>
    <w:rsid w:val="00A13A0C"/>
    <w:rsid w:val="00A568E5"/>
    <w:rsid w:val="00A57AF6"/>
    <w:rsid w:val="00A60338"/>
    <w:rsid w:val="00A60631"/>
    <w:rsid w:val="00A710BE"/>
    <w:rsid w:val="00A828B1"/>
    <w:rsid w:val="00A90D4C"/>
    <w:rsid w:val="00A9157C"/>
    <w:rsid w:val="00A96025"/>
    <w:rsid w:val="00A96A8F"/>
    <w:rsid w:val="00AA10DC"/>
    <w:rsid w:val="00AB194C"/>
    <w:rsid w:val="00AB45AF"/>
    <w:rsid w:val="00AC48A5"/>
    <w:rsid w:val="00AD08B7"/>
    <w:rsid w:val="00AD55B7"/>
    <w:rsid w:val="00AE24C0"/>
    <w:rsid w:val="00AF342C"/>
    <w:rsid w:val="00AF5B88"/>
    <w:rsid w:val="00B0452B"/>
    <w:rsid w:val="00B05BFA"/>
    <w:rsid w:val="00B07F14"/>
    <w:rsid w:val="00B158D5"/>
    <w:rsid w:val="00B223B8"/>
    <w:rsid w:val="00B24D39"/>
    <w:rsid w:val="00B30D89"/>
    <w:rsid w:val="00B332D5"/>
    <w:rsid w:val="00B454C0"/>
    <w:rsid w:val="00B47023"/>
    <w:rsid w:val="00B5010D"/>
    <w:rsid w:val="00B531F1"/>
    <w:rsid w:val="00B779ED"/>
    <w:rsid w:val="00B843BF"/>
    <w:rsid w:val="00B95449"/>
    <w:rsid w:val="00BA19D6"/>
    <w:rsid w:val="00BA4594"/>
    <w:rsid w:val="00BA75E3"/>
    <w:rsid w:val="00BA7760"/>
    <w:rsid w:val="00BB67AB"/>
    <w:rsid w:val="00BC249F"/>
    <w:rsid w:val="00BC35E3"/>
    <w:rsid w:val="00BC4A51"/>
    <w:rsid w:val="00BD0D4E"/>
    <w:rsid w:val="00BD417C"/>
    <w:rsid w:val="00BE4705"/>
    <w:rsid w:val="00BE5067"/>
    <w:rsid w:val="00C0173A"/>
    <w:rsid w:val="00C02DFC"/>
    <w:rsid w:val="00C102F3"/>
    <w:rsid w:val="00C16332"/>
    <w:rsid w:val="00C1754A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7573C"/>
    <w:rsid w:val="00C80F51"/>
    <w:rsid w:val="00C814C6"/>
    <w:rsid w:val="00C820D0"/>
    <w:rsid w:val="00C82600"/>
    <w:rsid w:val="00CA06C6"/>
    <w:rsid w:val="00CA2541"/>
    <w:rsid w:val="00CA2CCC"/>
    <w:rsid w:val="00CB109E"/>
    <w:rsid w:val="00CB1192"/>
    <w:rsid w:val="00CB2B46"/>
    <w:rsid w:val="00CB6DDE"/>
    <w:rsid w:val="00CC2A77"/>
    <w:rsid w:val="00CD146F"/>
    <w:rsid w:val="00CE2D58"/>
    <w:rsid w:val="00CE589F"/>
    <w:rsid w:val="00CF0AC4"/>
    <w:rsid w:val="00CF11F9"/>
    <w:rsid w:val="00CF13E4"/>
    <w:rsid w:val="00CF7838"/>
    <w:rsid w:val="00CF788A"/>
    <w:rsid w:val="00D0337B"/>
    <w:rsid w:val="00D142A9"/>
    <w:rsid w:val="00D15796"/>
    <w:rsid w:val="00D20F4F"/>
    <w:rsid w:val="00D21738"/>
    <w:rsid w:val="00D2290F"/>
    <w:rsid w:val="00D24BEA"/>
    <w:rsid w:val="00D3105C"/>
    <w:rsid w:val="00D36A09"/>
    <w:rsid w:val="00D41F4C"/>
    <w:rsid w:val="00D42967"/>
    <w:rsid w:val="00D449B7"/>
    <w:rsid w:val="00D44EA0"/>
    <w:rsid w:val="00D5040A"/>
    <w:rsid w:val="00D50C9B"/>
    <w:rsid w:val="00D571F0"/>
    <w:rsid w:val="00D7459C"/>
    <w:rsid w:val="00D75009"/>
    <w:rsid w:val="00D80932"/>
    <w:rsid w:val="00D8745C"/>
    <w:rsid w:val="00DA1EC9"/>
    <w:rsid w:val="00DA1FE7"/>
    <w:rsid w:val="00DA481A"/>
    <w:rsid w:val="00DB76BE"/>
    <w:rsid w:val="00DC138F"/>
    <w:rsid w:val="00DC1940"/>
    <w:rsid w:val="00DD171D"/>
    <w:rsid w:val="00DD7F04"/>
    <w:rsid w:val="00DE07C9"/>
    <w:rsid w:val="00DE58CC"/>
    <w:rsid w:val="00DE6320"/>
    <w:rsid w:val="00DE6BE1"/>
    <w:rsid w:val="00DF1371"/>
    <w:rsid w:val="00DF51EC"/>
    <w:rsid w:val="00E011E6"/>
    <w:rsid w:val="00E041B1"/>
    <w:rsid w:val="00E27FF4"/>
    <w:rsid w:val="00E43BD0"/>
    <w:rsid w:val="00E44AF4"/>
    <w:rsid w:val="00E54B7B"/>
    <w:rsid w:val="00E57251"/>
    <w:rsid w:val="00E669FB"/>
    <w:rsid w:val="00E678B7"/>
    <w:rsid w:val="00E767E7"/>
    <w:rsid w:val="00E80FAC"/>
    <w:rsid w:val="00E916F0"/>
    <w:rsid w:val="00E9295C"/>
    <w:rsid w:val="00E94835"/>
    <w:rsid w:val="00E95942"/>
    <w:rsid w:val="00EA0604"/>
    <w:rsid w:val="00EA1E3B"/>
    <w:rsid w:val="00EA527E"/>
    <w:rsid w:val="00EB0346"/>
    <w:rsid w:val="00EB63B8"/>
    <w:rsid w:val="00EC19C0"/>
    <w:rsid w:val="00EC36EA"/>
    <w:rsid w:val="00EC5495"/>
    <w:rsid w:val="00ED15F4"/>
    <w:rsid w:val="00EE211F"/>
    <w:rsid w:val="00EE253D"/>
    <w:rsid w:val="00EE380C"/>
    <w:rsid w:val="00EE5A7B"/>
    <w:rsid w:val="00EF5CD6"/>
    <w:rsid w:val="00EF64CB"/>
    <w:rsid w:val="00F26116"/>
    <w:rsid w:val="00F31752"/>
    <w:rsid w:val="00F34AAF"/>
    <w:rsid w:val="00F55B52"/>
    <w:rsid w:val="00F5762C"/>
    <w:rsid w:val="00F76B48"/>
    <w:rsid w:val="00F81686"/>
    <w:rsid w:val="00F83BF7"/>
    <w:rsid w:val="00F922EE"/>
    <w:rsid w:val="00F9472D"/>
    <w:rsid w:val="00FA057C"/>
    <w:rsid w:val="00FA7040"/>
    <w:rsid w:val="00FB3782"/>
    <w:rsid w:val="00FB4516"/>
    <w:rsid w:val="00FB49D2"/>
    <w:rsid w:val="00FB6E86"/>
    <w:rsid w:val="00FC07AB"/>
    <w:rsid w:val="00FC2D8E"/>
    <w:rsid w:val="00FC6D82"/>
    <w:rsid w:val="00FD23A8"/>
    <w:rsid w:val="00FD4820"/>
    <w:rsid w:val="00FD5EF8"/>
    <w:rsid w:val="00FE0AB1"/>
    <w:rsid w:val="00FE0D5E"/>
    <w:rsid w:val="00FE1DAA"/>
    <w:rsid w:val="00FF307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922DA-10DC-4BE6-AAF8-777B03A7E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1125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Хохлова Анна Юрьевна</cp:lastModifiedBy>
  <cp:revision>12</cp:revision>
  <cp:lastPrinted>2021-10-14T12:47:00Z</cp:lastPrinted>
  <dcterms:created xsi:type="dcterms:W3CDTF">2021-10-13T17:00:00Z</dcterms:created>
  <dcterms:modified xsi:type="dcterms:W3CDTF">2023-05-18T07:59:00Z</dcterms:modified>
</cp:coreProperties>
</file>