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>Доклад</w:t>
      </w:r>
    </w:p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министра финансов области </w:t>
      </w:r>
      <w:proofErr w:type="spellStart"/>
      <w:r w:rsidRPr="008B4BD9">
        <w:rPr>
          <w:rFonts w:ascii="PT Astra Serif" w:eastAsia="Calibri" w:hAnsi="PT Astra Serif"/>
          <w:b/>
          <w:szCs w:val="28"/>
          <w:lang w:eastAsia="en-US"/>
        </w:rPr>
        <w:t>Бегининой</w:t>
      </w:r>
      <w:proofErr w:type="spellEnd"/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 И.С. на публичных слушаниях  «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О проекте закона Саратовской области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«Об областном бюджете на 202</w:t>
      </w:r>
      <w:r w:rsidR="00EE5348">
        <w:rPr>
          <w:rFonts w:ascii="PT Astra Serif" w:hAnsi="PT Astra Serif"/>
          <w:b/>
          <w:bCs/>
          <w:szCs w:val="28"/>
          <w:lang w:eastAsia="ar-SA"/>
        </w:rPr>
        <w:t>4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 и плановый период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202</w:t>
      </w:r>
      <w:r w:rsidR="00EE5348">
        <w:rPr>
          <w:rFonts w:ascii="PT Astra Serif" w:hAnsi="PT Astra Serif"/>
          <w:b/>
          <w:bCs/>
          <w:szCs w:val="28"/>
          <w:lang w:eastAsia="ar-SA"/>
        </w:rPr>
        <w:t>5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и 202</w:t>
      </w:r>
      <w:r w:rsidR="00EE5348">
        <w:rPr>
          <w:rFonts w:ascii="PT Astra Serif" w:hAnsi="PT Astra Serif"/>
          <w:b/>
          <w:bCs/>
          <w:szCs w:val="28"/>
          <w:lang w:eastAsia="ar-SA"/>
        </w:rPr>
        <w:t>6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годов</w:t>
      </w:r>
      <w:r w:rsidRPr="008B4BD9">
        <w:rPr>
          <w:rFonts w:ascii="PT Astra Serif" w:hAnsi="PT Astra Serif"/>
          <w:b/>
          <w:szCs w:val="28"/>
          <w:lang w:eastAsia="ar-SA"/>
        </w:rPr>
        <w:t xml:space="preserve">» </w:t>
      </w:r>
    </w:p>
    <w:p w:rsidR="00E041B1" w:rsidRPr="008B4BD9" w:rsidRDefault="00E041B1" w:rsidP="0010347D">
      <w:pPr>
        <w:ind w:left="5103"/>
        <w:rPr>
          <w:rFonts w:ascii="PT Astra Serif" w:hAnsi="PT Astra Serif"/>
          <w:b/>
          <w:i/>
          <w:sz w:val="24"/>
        </w:rPr>
      </w:pPr>
    </w:p>
    <w:p w:rsidR="0010347D" w:rsidRPr="008B4BD9" w:rsidRDefault="0010347D" w:rsidP="0010347D">
      <w:pPr>
        <w:jc w:val="center"/>
        <w:rPr>
          <w:rFonts w:ascii="PT Astra Serif" w:hAnsi="PT Astra Serif"/>
          <w:b/>
          <w:szCs w:val="28"/>
        </w:rPr>
      </w:pPr>
    </w:p>
    <w:p w:rsidR="0010347D" w:rsidRDefault="0010347D" w:rsidP="0010347D">
      <w:pPr>
        <w:jc w:val="center"/>
        <w:rPr>
          <w:rFonts w:ascii="PT Astra Serif" w:hAnsi="PT Astra Serif"/>
          <w:b/>
          <w:szCs w:val="28"/>
        </w:rPr>
      </w:pPr>
      <w:r w:rsidRPr="008B4BD9">
        <w:rPr>
          <w:rFonts w:ascii="PT Astra Serif" w:hAnsi="PT Astra Serif"/>
          <w:b/>
          <w:szCs w:val="28"/>
        </w:rPr>
        <w:t>Уважаемые участники слушаний!</w:t>
      </w:r>
    </w:p>
    <w:p w:rsidR="008B4BD9" w:rsidRDefault="008B4BD9" w:rsidP="0010347D">
      <w:pPr>
        <w:jc w:val="center"/>
        <w:rPr>
          <w:rFonts w:ascii="PT Astra Serif" w:hAnsi="PT Astra Serif"/>
          <w:b/>
          <w:szCs w:val="28"/>
        </w:rPr>
      </w:pP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Проект бюджета на 2024-2026 годы подготовлен на основе прогноза социально-экономического развития области c учетом ограничений, установленных бюджетным законодательством.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Безусловным приоритетом региональной бюджетной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политики на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очередную трехлетку является исполнение всех социальных обязательств и достижение национальных целей развития, определенных Президентом России. </w:t>
      </w:r>
      <w:bookmarkStart w:id="0" w:name="_GoBack"/>
      <w:bookmarkEnd w:id="0"/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В налоговой политике акцент на предстоящие три года будет сделан на обеспечении стабильных налоговых условий для хозяйствующих субъектов, улучшении качества налогового администрирования и его упрощении, в том числе в части декларирования доходов физических лиц, оптимизации количества и объема налоговых льгот.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В числе наиболее значимых новаций в налоговой сфере: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продление до 2030 года условий признания убытков исходя из                   50-процентного ограничения по налогу на прибыль организаций;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установление новых оснований для получения вычетов по налогу на доходы физических лиц (НДФЛ) и увеличение предельного размера социального налогового вычета;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расширение перечня видов недвижимости, налоговую базу по которым определяют как кадастровую стоимость, по налогу на имущество организаций.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Намечены меры по совершенствованию механизма единого налогового счета.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Изменения в региональном налоговом законодательстве связаны с предоставлением новых преференций отдельным категориям налогоплательщиков, в том числе по налогу на имущество организаций и упрощенной системе налогообложения.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С учетом вступающих в силу в планируемом периоде изменений налогового и бюджетного законодательства, исходя из прогноза </w:t>
      </w:r>
      <w:proofErr w:type="spellStart"/>
      <w:r w:rsidRPr="00EE5348">
        <w:rPr>
          <w:rFonts w:ascii="PT Astra Serif" w:eastAsiaTheme="minorEastAsia" w:hAnsi="PT Astra Serif" w:cstheme="minorBidi"/>
          <w:szCs w:val="28"/>
        </w:rPr>
        <w:t>бюджетообразующих</w:t>
      </w:r>
      <w:proofErr w:type="spellEnd"/>
      <w:r w:rsidRPr="00EE5348">
        <w:rPr>
          <w:rFonts w:ascii="PT Astra Serif" w:eastAsiaTheme="minorEastAsia" w:hAnsi="PT Astra Serif" w:cstheme="minorBidi"/>
          <w:szCs w:val="28"/>
        </w:rPr>
        <w:t xml:space="preserve"> показателей, налоговые и иные обязательные платежи в областной бюджет запланированы: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на 2024 год в объеме 107,9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рублей, 109,9% к уточненным бюджетным назначениям текущего года;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2025 год – 113,2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рублей, 105,0% к 2024 году;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2026 год – 122,6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рублей, 108,2% к 2025 году.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proofErr w:type="spellStart"/>
      <w:r w:rsidRPr="00EE5348">
        <w:rPr>
          <w:rFonts w:ascii="PT Astra Serif" w:eastAsiaTheme="minorEastAsia" w:hAnsi="PT Astra Serif" w:cstheme="minorBidi"/>
          <w:szCs w:val="28"/>
        </w:rPr>
        <w:t>Бюджетообразующими</w:t>
      </w:r>
      <w:proofErr w:type="spellEnd"/>
      <w:r w:rsidRPr="00EE5348">
        <w:rPr>
          <w:rFonts w:ascii="PT Astra Serif" w:eastAsiaTheme="minorEastAsia" w:hAnsi="PT Astra Serif" w:cstheme="minorBidi"/>
          <w:szCs w:val="28"/>
        </w:rPr>
        <w:t xml:space="preserve"> доходами областного бюджета являются налог на прибыль организаций, налог на доходы физических лиц, акцизы, налог, </w:t>
      </w:r>
      <w:r w:rsidRPr="00EE5348">
        <w:rPr>
          <w:rFonts w:ascii="PT Astra Serif" w:eastAsiaTheme="minorEastAsia" w:hAnsi="PT Astra Serif" w:cstheme="minorBidi"/>
          <w:szCs w:val="28"/>
        </w:rPr>
        <w:lastRenderedPageBreak/>
        <w:t xml:space="preserve">взимаемый в связи с применением упрощенной системы налогообложения, и налог на имущество организаций, в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совокупности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формирующие в 2024-2026 годах свыше 97% налоговых и неналоговых доходов областного бюджета.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Безвозмездные поступления в областной бюджет предварительно учтены в части дотаций: на 2024 год – 14,6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рублей, на 2025 и 2026 годы – по 12,3 млрд рублей. Также в 2024 году включены межбюджетные трансферты из федерального бюджета в размере 3,0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рублей, которые будут источником погашения бюджетного кредита на опережающее финансирование, полученного в 2023 году. Суммы дотаций и целевые федеральные средства будут уточнены после распределения в законе о федеральном бюджете. 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На весь трехлетний период обеспечена социальная направленность бюджетных расходов – удельный вес расходов отраслей социальной сферы составляет 64% в общем объеме расходов областного бюджета.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Социальные выплаты рассчитаны с ежегодной индексацией с 1 октября в 2024-2026 годах на прогнозный уровень инфляции, а также с учетом роста тарифов на оплату жилого помещения и коммунальных услуг. Платежи на обязательное медицинское страхование неработающего населения обеспечены в полном объеме в соответствии с федеральным нормативом.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Общий объем публичных обязательств за счет средств областного бюджета составит в следующем году 24,6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рублей, в том числе выплаты населению – 12 млрд рублей.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Запланированы ассигнования на обеспечение жилыми помещениями детей-сирот и переселение граждан из аварийного жилищного фонда. 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Областной дорожный фонд рассчитан исходя из прогноза поступлений образующих его доходов. Сохранены субсидии за счет средств фонда поселениям области на ремонт и содержание дорог внутри сельских населенных пунктов.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Заложено финансирование и по другим региональным проектам: на обеспечение жителей области качественной питьевой водой, проведение ремонта и укрепление материально-технической базы учреждений бюджетной сферы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Предусмотрено финансирование инфраструктурных проектов: по комплексному развитию территории бывшего аэропорта Саратов «Центральный» за счет федерального бюджетного кредита и по созданию, реконструкции и эксплуатации трамвайной сети города Саратова.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Зарезервированы средства на мероприятия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а также на обеспечение увеличения целевых ориентиров по заработной плате отдельных категорий работников бюджетной сферы.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Ассигнования по межбюджетным трансфертам местным бюджетам без учета федеральных средств рассчитаны на 2024 год в сумме 37,1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рублей. 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lastRenderedPageBreak/>
        <w:t>Заложены средства на поддержку инициативных проектов граждан и на стимулирование (поощрение) органов местного самоуправления по социально-экономическому развитию муниципалитетов – на уровне текущего года.</w:t>
      </w:r>
    </w:p>
    <w:p w:rsidR="00EE5348" w:rsidRPr="00EE5348" w:rsidRDefault="00EE5348" w:rsidP="00EE534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 xml:space="preserve">Лимит предоставления в 2024 году муниципальным образованиям бюджетных кредитов для покрытия возникающих в течение финансового года временных кассовых разрывов местных бюджетов составит 500,0 </w:t>
      </w:r>
      <w:proofErr w:type="gramStart"/>
      <w:r w:rsidRPr="00EE5348">
        <w:rPr>
          <w:rFonts w:ascii="PT Astra Serif" w:eastAsiaTheme="minorEastAsia" w:hAnsi="PT Astra Serif" w:cstheme="minorBidi"/>
          <w:szCs w:val="28"/>
        </w:rPr>
        <w:t>млн</w:t>
      </w:r>
      <w:proofErr w:type="gramEnd"/>
      <w:r w:rsidRPr="00EE5348">
        <w:rPr>
          <w:rFonts w:ascii="PT Astra Serif" w:eastAsiaTheme="minorEastAsia" w:hAnsi="PT Astra Serif" w:cstheme="minorBidi"/>
          <w:szCs w:val="28"/>
        </w:rPr>
        <w:t xml:space="preserve"> рублей со сроком возврата в течение финансового года. Плата за пользование бюджетными кредитами не увеличится – 0,1%.</w:t>
      </w:r>
    </w:p>
    <w:p w:rsidR="008B4BD9" w:rsidRPr="00EE5348" w:rsidRDefault="00EE5348" w:rsidP="00EE5348">
      <w:pPr>
        <w:ind w:firstLine="709"/>
        <w:jc w:val="both"/>
        <w:rPr>
          <w:rFonts w:ascii="PT Astra Serif" w:eastAsiaTheme="minorHAnsi" w:hAnsi="PT Astra Serif" w:cstheme="minorBidi"/>
          <w:b/>
          <w:bCs/>
          <w:szCs w:val="28"/>
        </w:rPr>
      </w:pPr>
      <w:r w:rsidRPr="00EE5348">
        <w:rPr>
          <w:rFonts w:ascii="PT Astra Serif" w:eastAsiaTheme="minorEastAsia" w:hAnsi="PT Astra Serif" w:cstheme="minorBidi"/>
          <w:szCs w:val="28"/>
        </w:rPr>
        <w:t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</w:t>
      </w:r>
    </w:p>
    <w:p w:rsidR="008B4BD9" w:rsidRPr="008B4BD9" w:rsidRDefault="008B4BD9" w:rsidP="00647A28">
      <w:pPr>
        <w:jc w:val="center"/>
        <w:rPr>
          <w:rFonts w:ascii="PT Astra Serif" w:hAnsi="PT Astra Serif"/>
          <w:b/>
          <w:szCs w:val="28"/>
        </w:rPr>
      </w:pPr>
    </w:p>
    <w:sectPr w:rsidR="008B4BD9" w:rsidRPr="008B4BD9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5F7" w:rsidRDefault="00B655F7" w:rsidP="00BA75E3">
      <w:r>
        <w:separator/>
      </w:r>
    </w:p>
  </w:endnote>
  <w:endnote w:type="continuationSeparator" w:id="0">
    <w:p w:rsidR="00B655F7" w:rsidRDefault="00B655F7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5F7" w:rsidRDefault="00B655F7" w:rsidP="00BA75E3">
      <w:r>
        <w:separator/>
      </w:r>
    </w:p>
  </w:footnote>
  <w:footnote w:type="continuationSeparator" w:id="0">
    <w:p w:rsidR="00B655F7" w:rsidRDefault="00B655F7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EE5348">
          <w:rPr>
            <w:noProof/>
            <w:sz w:val="24"/>
          </w:rPr>
          <w:t>2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5FCA"/>
    <w:rsid w:val="000B6B19"/>
    <w:rsid w:val="000C1433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C1FC5"/>
    <w:rsid w:val="002C38A9"/>
    <w:rsid w:val="002C4975"/>
    <w:rsid w:val="002C55DC"/>
    <w:rsid w:val="002E43B9"/>
    <w:rsid w:val="00304DA5"/>
    <w:rsid w:val="00305292"/>
    <w:rsid w:val="00307285"/>
    <w:rsid w:val="00315E61"/>
    <w:rsid w:val="00321F8E"/>
    <w:rsid w:val="00323C64"/>
    <w:rsid w:val="00323CB6"/>
    <w:rsid w:val="003274B2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6179"/>
    <w:rsid w:val="003B5751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41650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42813"/>
    <w:rsid w:val="00544E51"/>
    <w:rsid w:val="00550741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7A28"/>
    <w:rsid w:val="006661C2"/>
    <w:rsid w:val="00667BA1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B4BD9"/>
    <w:rsid w:val="008C0EC6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1411"/>
    <w:rsid w:val="00937AFE"/>
    <w:rsid w:val="009434AD"/>
    <w:rsid w:val="00943974"/>
    <w:rsid w:val="00945D9E"/>
    <w:rsid w:val="00960B29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55B7"/>
    <w:rsid w:val="00AE24C0"/>
    <w:rsid w:val="00AF342C"/>
    <w:rsid w:val="00AF5B88"/>
    <w:rsid w:val="00B0452B"/>
    <w:rsid w:val="00B05BFA"/>
    <w:rsid w:val="00B07F14"/>
    <w:rsid w:val="00B158D5"/>
    <w:rsid w:val="00B223B8"/>
    <w:rsid w:val="00B24D39"/>
    <w:rsid w:val="00B30D89"/>
    <w:rsid w:val="00B332D5"/>
    <w:rsid w:val="00B454C0"/>
    <w:rsid w:val="00B47023"/>
    <w:rsid w:val="00B5010D"/>
    <w:rsid w:val="00B531F1"/>
    <w:rsid w:val="00B655F7"/>
    <w:rsid w:val="00B779ED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417C"/>
    <w:rsid w:val="00BE4705"/>
    <w:rsid w:val="00BE5067"/>
    <w:rsid w:val="00C0173A"/>
    <w:rsid w:val="00C02DFC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041B1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9C0"/>
    <w:rsid w:val="00EC36EA"/>
    <w:rsid w:val="00EC5495"/>
    <w:rsid w:val="00ED15F4"/>
    <w:rsid w:val="00EE211F"/>
    <w:rsid w:val="00EE253D"/>
    <w:rsid w:val="00EE380C"/>
    <w:rsid w:val="00EE5348"/>
    <w:rsid w:val="00EE5A7B"/>
    <w:rsid w:val="00EF5CD6"/>
    <w:rsid w:val="00EF64CB"/>
    <w:rsid w:val="00F26116"/>
    <w:rsid w:val="00F31752"/>
    <w:rsid w:val="00F34AAF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8652E-81FF-47BE-B307-6EA8AA2F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12</cp:revision>
  <cp:lastPrinted>2021-10-14T12:47:00Z</cp:lastPrinted>
  <dcterms:created xsi:type="dcterms:W3CDTF">2021-10-13T17:00:00Z</dcterms:created>
  <dcterms:modified xsi:type="dcterms:W3CDTF">2023-10-17T07:58:00Z</dcterms:modified>
</cp:coreProperties>
</file>