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E1A" w:rsidRPr="00A43E1A" w:rsidRDefault="00A43E1A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ПРАВИТЕЛЬСТВО РОССИЙСКОЙ ФЕДЕРАЦИИ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РАСПОРЯЖЕНИЕ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от 24 октября 2023 г. N 2958-р</w:t>
      </w:r>
    </w:p>
    <w:p w:rsidR="00A43E1A" w:rsidRPr="00A43E1A" w:rsidRDefault="00A43E1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3E1A" w:rsidRPr="00A43E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">
              <w:r w:rsidRPr="00A43E1A">
                <w:rPr>
                  <w:rFonts w:ascii="PT Astra Serif" w:hAnsi="PT Astra Serif"/>
                  <w:sz w:val="28"/>
                  <w:szCs w:val="28"/>
                </w:rPr>
                <w:t>распоряжения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 xml:space="preserve"> Правительства РФ от 15.10.2025 N 2868-р)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1. Утвердить прилагаемую разработанную совместно с Банком России и одобренную Советом директоров Банка России </w:t>
      </w:r>
      <w:hyperlink w:anchor="P27">
        <w:r w:rsidRPr="00A43E1A">
          <w:rPr>
            <w:rFonts w:ascii="PT Astra Serif" w:hAnsi="PT Astra Serif"/>
            <w:sz w:val="28"/>
            <w:szCs w:val="28"/>
          </w:rPr>
          <w:t>Стратегию</w:t>
        </w:r>
      </w:hyperlink>
      <w:r w:rsidRPr="00A43E1A">
        <w:rPr>
          <w:rFonts w:ascii="PT Astra Serif" w:hAnsi="PT Astra Serif"/>
          <w:sz w:val="28"/>
          <w:szCs w:val="28"/>
        </w:rPr>
        <w:t xml:space="preserve"> повышения финансовой грамотности и формирования финансовой культуры до 2030 года (далее - Стратегия).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2. Минфину России совместно с Банком России разработать с привлечением заинтересованных федеральных органов исполнительной власти и организаций и утвердить в 2-месячный срок </w:t>
      </w:r>
      <w:hyperlink r:id="rId6">
        <w:r w:rsidRPr="00A43E1A">
          <w:rPr>
            <w:rFonts w:ascii="PT Astra Serif" w:hAnsi="PT Astra Serif"/>
            <w:sz w:val="28"/>
            <w:szCs w:val="28"/>
          </w:rPr>
          <w:t>план</w:t>
        </w:r>
      </w:hyperlink>
      <w:r w:rsidRPr="00A43E1A">
        <w:rPr>
          <w:rFonts w:ascii="PT Astra Serif" w:hAnsi="PT Astra Serif"/>
          <w:sz w:val="28"/>
          <w:szCs w:val="28"/>
        </w:rPr>
        <w:t xml:space="preserve"> мероприятий ("дорожную карту") по реализации </w:t>
      </w:r>
      <w:hyperlink w:anchor="P27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>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3. Федеральным органам исполнительной власти руководствоваться положениями </w:t>
      </w:r>
      <w:hyperlink w:anchor="P27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при разработке и реализации государственных программ Российской Федерации и иных документов.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4. Рекомендовать органам государственной власти субъектов Российской Федерации и органам местного самоуправления руководствоваться положениями </w:t>
      </w:r>
      <w:hyperlink w:anchor="P27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при разработке и реализации государственных программ субъектов Российской Федерации (региональных программ), направленных на повышение финансовой грамотности и формирование финансовой культуры, и иных документов.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5. Настоящее распоряжение вступает в силу с 1 января 2024 г.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Председатель Правительства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Российской Федерации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М.МИШУСТИН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Pr="00A43E1A" w:rsidRDefault="00A43E1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Утверждена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распоряжением Правительства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Российской Федерации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от 24 октября 2023 г. N 2958-р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27"/>
      <w:bookmarkEnd w:id="0"/>
      <w:r w:rsidRPr="00A43E1A">
        <w:rPr>
          <w:rFonts w:ascii="PT Astra Serif" w:hAnsi="PT Astra Serif"/>
          <w:sz w:val="28"/>
          <w:szCs w:val="28"/>
        </w:rPr>
        <w:t>СТРАТЕГИЯ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ПОВЫШЕНИЯ ФИНАНСОВОЙ ГРАМОТНОСТИ И ФОРМИРОВАНИЯ ФИНАНСОВОЙ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КУЛЬТУРЫ ДО 2030 ГОДА</w:t>
      </w:r>
    </w:p>
    <w:p w:rsidR="00A43E1A" w:rsidRPr="00A43E1A" w:rsidRDefault="00A43E1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3E1A" w:rsidRPr="00A43E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">
              <w:r w:rsidRPr="00A43E1A">
                <w:rPr>
                  <w:rFonts w:ascii="PT Astra Serif" w:hAnsi="PT Astra Serif"/>
                  <w:sz w:val="28"/>
                  <w:szCs w:val="28"/>
                </w:rPr>
                <w:t>распоряжения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 xml:space="preserve"> Правительства РФ от 15.10.2025 N 2868-р)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I. Общие положения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Устойчивое повышение качества и уровня жизни граждан требует повышения финансовой грамотности и формирования финансовой культуры, обеспечения финансового благополучия граждан, осознанного использования ими финансовых продуктов и услуг, разумного принятия финансовых решений, инвестирования и управления рисками.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 период 2017 - 2023 годов повышение финансовой грамотности осуществлялось в рамках </w:t>
      </w:r>
      <w:hyperlink r:id="rId8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повышения финансовой грамотности в Российской Федерации, утвержденной распоряжением Правительства Российской Федерации от 25 сентября 2017 г. N 2039-р (далее - Стратегия 2017 - 2023 годов).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>Стратегия повышения финансовой грамотности и формирования финансовой культуры до 2030 года (далее - Стратегия) определяет приоритеты, цели, задачи и инструменты их достижения на период до 2030 года в сфере повышения финансовой грамотности и формирования финансовой культуры граждан, укрепления системы финансового образования и просвещения, обеспечения прав и интересов потребителей финансовых услуг, финансовой безопасности граждан.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Стратегия призвана способствовать достижению национальных целей развития Российской Федерации, определенных </w:t>
      </w:r>
      <w:hyperlink r:id="rId9">
        <w:r w:rsidRPr="00A43E1A">
          <w:rPr>
            <w:rFonts w:ascii="PT Astra Serif" w:hAnsi="PT Astra Serif"/>
            <w:sz w:val="28"/>
            <w:szCs w:val="28"/>
          </w:rPr>
          <w:t>Указом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(в ред. </w:t>
      </w:r>
      <w:hyperlink r:id="rId10">
        <w:r w:rsidRPr="00A43E1A">
          <w:rPr>
            <w:rFonts w:ascii="PT Astra Serif" w:hAnsi="PT Astra Serif"/>
            <w:sz w:val="28"/>
            <w:szCs w:val="28"/>
          </w:rPr>
          <w:t>распоряжения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 xml:space="preserve">Стратегия основывается на </w:t>
      </w:r>
      <w:hyperlink r:id="rId11">
        <w:r w:rsidRPr="00A43E1A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Российской Федерации, Федеральном </w:t>
      </w:r>
      <w:hyperlink r:id="rId12">
        <w:r w:rsidRPr="00A43E1A">
          <w:rPr>
            <w:rFonts w:ascii="PT Astra Serif" w:hAnsi="PT Astra Serif"/>
            <w:sz w:val="28"/>
            <w:szCs w:val="28"/>
          </w:rPr>
          <w:t>законе</w:t>
        </w:r>
      </w:hyperlink>
      <w:r w:rsidRPr="00A43E1A">
        <w:rPr>
          <w:rFonts w:ascii="PT Astra Serif" w:hAnsi="PT Astra Serif"/>
          <w:sz w:val="28"/>
          <w:szCs w:val="28"/>
        </w:rPr>
        <w:t xml:space="preserve"> "О стратегическом планировании в Российской Федерации", </w:t>
      </w:r>
      <w:hyperlink r:id="rId13">
        <w:r w:rsidRPr="00A43E1A">
          <w:rPr>
            <w:rFonts w:ascii="PT Astra Serif" w:hAnsi="PT Astra Serif"/>
            <w:sz w:val="28"/>
            <w:szCs w:val="28"/>
          </w:rPr>
          <w:t>Законе</w:t>
        </w:r>
      </w:hyperlink>
      <w:r w:rsidRPr="00A43E1A">
        <w:rPr>
          <w:rFonts w:ascii="PT Astra Serif" w:hAnsi="PT Astra Serif"/>
          <w:sz w:val="28"/>
          <w:szCs w:val="28"/>
        </w:rPr>
        <w:t xml:space="preserve"> Российской Федерации "О защите прав потребителей", </w:t>
      </w:r>
      <w:r w:rsidRPr="00A43E1A">
        <w:rPr>
          <w:rFonts w:ascii="PT Astra Serif" w:hAnsi="PT Astra Serif"/>
          <w:sz w:val="28"/>
          <w:szCs w:val="28"/>
        </w:rPr>
        <w:lastRenderedPageBreak/>
        <w:t xml:space="preserve">Федеральном </w:t>
      </w:r>
      <w:hyperlink r:id="rId14">
        <w:r w:rsidRPr="00A43E1A">
          <w:rPr>
            <w:rFonts w:ascii="PT Astra Serif" w:hAnsi="PT Astra Serif"/>
            <w:sz w:val="28"/>
            <w:szCs w:val="28"/>
          </w:rPr>
          <w:t>законе</w:t>
        </w:r>
      </w:hyperlink>
      <w:r w:rsidRPr="00A43E1A">
        <w:rPr>
          <w:rFonts w:ascii="PT Astra Serif" w:hAnsi="PT Astra Serif"/>
          <w:sz w:val="28"/>
          <w:szCs w:val="28"/>
        </w:rPr>
        <w:t xml:space="preserve"> "Об образовании в Российской Федерации", других федеральных законах, а также на нормативных правовых актах Правительства Российской Федерации и федеральных органов исполнительной власти, регулирующих отношения, возникающие в сфере повышения финансовой грамотности и формирования финансовой культуры граждан.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Стратегия учитывает принятые документы, связанные с вопросами повышения финансовой грамотности и формирования финансовой культуры граждан, в том числе: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государственную </w:t>
      </w:r>
      <w:hyperlink r:id="rId15">
        <w:r w:rsidRPr="00A43E1A">
          <w:rPr>
            <w:rFonts w:ascii="PT Astra Serif" w:hAnsi="PT Astra Serif"/>
            <w:sz w:val="28"/>
            <w:szCs w:val="28"/>
          </w:rPr>
          <w:t>программу</w:t>
        </w:r>
      </w:hyperlink>
      <w:r w:rsidRPr="00A43E1A">
        <w:rPr>
          <w:rFonts w:ascii="PT Astra Serif" w:hAnsi="PT Astra Serif"/>
          <w:sz w:val="28"/>
          <w:szCs w:val="28"/>
        </w:rPr>
        <w:t xml:space="preserve"> Российской Федерации "Управление государственными финансами и регулирование финансовых рынков", утвержденную постановлением Правительства Российской Федерации от 15 апреля 2014 г. N 320 "Об утверждении государственной программы Российской Федерации "Управление государственными финансами и регулирование финансовых рынков";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государственную </w:t>
      </w:r>
      <w:hyperlink r:id="rId16">
        <w:r w:rsidRPr="00A43E1A">
          <w:rPr>
            <w:rFonts w:ascii="PT Astra Serif" w:hAnsi="PT Astra Serif"/>
            <w:sz w:val="28"/>
            <w:szCs w:val="28"/>
          </w:rPr>
          <w:t>программу</w:t>
        </w:r>
      </w:hyperlink>
      <w:r w:rsidRPr="00A43E1A">
        <w:rPr>
          <w:rFonts w:ascii="PT Astra Serif" w:hAnsi="PT Astra Serif"/>
          <w:sz w:val="28"/>
          <w:szCs w:val="28"/>
        </w:rPr>
        <w:t xml:space="preserve"> Российской Федерации "Развитие образования", утвержденную постановлением Правительства Российской Федерации от 26 декабря 2017 г. N 1642 "Об утверждении государственной программы Российской Федерации "Развитие образования";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A43E1A">
          <w:rPr>
            <w:rFonts w:ascii="PT Astra Serif" w:hAnsi="PT Astra Serif"/>
            <w:sz w:val="28"/>
            <w:szCs w:val="28"/>
          </w:rPr>
          <w:t>Стратегию</w:t>
        </w:r>
      </w:hyperlink>
      <w:r w:rsidRPr="00A43E1A">
        <w:rPr>
          <w:rFonts w:ascii="PT Astra Serif" w:hAnsi="PT Astra Serif"/>
          <w:sz w:val="28"/>
          <w:szCs w:val="28"/>
        </w:rPr>
        <w:t xml:space="preserve"> развития воспитания в Российской Федерации на период до 2025 года, утвержденную распоряжением Правительства Российской Федерации от 29 мая 2015 г. N 996-р;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Стратегию государственной политики Российской Федерации в области защиты прав потребителей на период до 2030 года, утвержденную распоряжением Правительства Российской Федерации от 28 августа 2017 г. N 1837-р;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Единый </w:t>
      </w:r>
      <w:hyperlink r:id="rId18">
        <w:r w:rsidRPr="00A43E1A">
          <w:rPr>
            <w:rFonts w:ascii="PT Astra Serif" w:hAnsi="PT Astra Serif"/>
            <w:sz w:val="28"/>
            <w:szCs w:val="28"/>
          </w:rPr>
          <w:t>план</w:t>
        </w:r>
      </w:hyperlink>
      <w:r w:rsidRPr="00A43E1A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до 2030 года и на перспективу до 2036 года;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(в ред. </w:t>
      </w:r>
      <w:hyperlink r:id="rId19">
        <w:r w:rsidRPr="00A43E1A">
          <w:rPr>
            <w:rFonts w:ascii="PT Astra Serif" w:hAnsi="PT Astra Serif"/>
            <w:sz w:val="28"/>
            <w:szCs w:val="28"/>
          </w:rPr>
          <w:t>распоряжения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A43E1A">
          <w:rPr>
            <w:rFonts w:ascii="PT Astra Serif" w:hAnsi="PT Astra Serif"/>
            <w:sz w:val="28"/>
            <w:szCs w:val="28"/>
          </w:rPr>
          <w:t>Концепцию</w:t>
        </w:r>
      </w:hyperlink>
      <w:r w:rsidRPr="00A43E1A">
        <w:rPr>
          <w:rFonts w:ascii="PT Astra Serif" w:hAnsi="PT Astra Serif"/>
          <w:sz w:val="28"/>
          <w:szCs w:val="28"/>
        </w:rPr>
        <w:t xml:space="preserve"> подготовки педагогических кадров для системы образования на период до 2030 года, утвержденную распоряжением Правительства Российской Федерации от 24 июня 2022 г. N 1688-р;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A43E1A">
          <w:rPr>
            <w:rFonts w:ascii="PT Astra Serif" w:hAnsi="PT Astra Serif"/>
            <w:sz w:val="28"/>
            <w:szCs w:val="28"/>
          </w:rPr>
          <w:t>Концепцию</w:t>
        </w:r>
      </w:hyperlink>
      <w:r w:rsidRPr="00A43E1A">
        <w:rPr>
          <w:rFonts w:ascii="PT Astra Serif" w:hAnsi="PT Astra Serif"/>
          <w:sz w:val="28"/>
          <w:szCs w:val="28"/>
        </w:rPr>
        <w:t xml:space="preserve"> формирования и развития культуры информационной безопасности граждан Российской Федерации, утвержденную распоряжением Правительства Российской Федерации от 22 декабря 2022 г. N 4088-р;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A43E1A">
          <w:rPr>
            <w:rFonts w:ascii="PT Astra Serif" w:hAnsi="PT Astra Serif"/>
            <w:sz w:val="28"/>
            <w:szCs w:val="28"/>
          </w:rPr>
          <w:t>Стратегию</w:t>
        </w:r>
      </w:hyperlink>
      <w:r w:rsidRPr="00A43E1A">
        <w:rPr>
          <w:rFonts w:ascii="PT Astra Serif" w:hAnsi="PT Astra Serif"/>
          <w:sz w:val="28"/>
          <w:szCs w:val="28"/>
        </w:rPr>
        <w:t xml:space="preserve"> развития финансового рынка Российской Федерации до 2030 года, утвержденную распоряжением Правительства Российской Федерации от 29 декабря 2022 г. N 4355-р;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 xml:space="preserve">Основные направления развития финансового рынка Российской Федерации на 2025 год и период 2026 и 2027 годов, одобренные </w:t>
      </w:r>
      <w:hyperlink r:id="rId23">
        <w:r w:rsidRPr="00A43E1A">
          <w:rPr>
            <w:rFonts w:ascii="PT Astra Serif" w:hAnsi="PT Astra Serif"/>
            <w:sz w:val="28"/>
            <w:szCs w:val="28"/>
          </w:rPr>
          <w:t>решением</w:t>
        </w:r>
      </w:hyperlink>
      <w:r w:rsidRPr="00A43E1A">
        <w:rPr>
          <w:rFonts w:ascii="PT Astra Serif" w:hAnsi="PT Astra Serif"/>
          <w:sz w:val="28"/>
          <w:szCs w:val="28"/>
        </w:rPr>
        <w:t xml:space="preserve"> Совета директоров Центрального банка Российской Федерации 20 декабря 2024 г.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A43E1A">
          <w:rPr>
            <w:rFonts w:ascii="PT Astra Serif" w:hAnsi="PT Astra Serif"/>
            <w:sz w:val="28"/>
            <w:szCs w:val="28"/>
          </w:rPr>
          <w:t>распоряжения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Стратегии используются следующие термины: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"финансовая грамотность" - основные знания, умения и навыки, необходимые для принятия финансовых решений в целях достижения финансового благополучия и управления финансовыми рисками;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"финансовая культура" - ценности, установки и поведенческие практики граждан в финансовой сфере, зависящие от воспитания, уровня финансовой грамотности, опыта принятия финансовых решений, уровня развития финансового рынка и общественных институтов.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II. Общее состояние финансовой грамотности и финансовой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культуры в Российской Федерации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период 2017 - 2023 годов совместными действиями Центрального банка Российской Федерации, Министерства финансов Российской Федерации и других федеральных органов исполнительной власти в сфере повышения финансовой грамотности достигнуты следующие результаты: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элементы финансовой грамотности включены в федеральные государственные образовательные стандарты на всех уровнях образования (финансовая грамотность преподается в 98 процентах общеобразовательных организаций и 96 процентах профессиональных образовательных организаций с охватом 78 процентов учащихся и 69 процентов студентов соответственно);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Межведомственной координационной комиссией по реализации </w:t>
      </w:r>
      <w:hyperlink r:id="rId25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2017 - 2023 годов утверждена единая рамка компетенций по финансовой грамотности, объединяющая в себе компетенции по финансовой грамотности для учащихся и для взрослых граждан;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>на базе ведущих образовательных организаций высшего образования (федеральное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экономики", 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Федерации", федеральное государственное бюджетное образовательное учреждение высшего образования "Московский государственный университет имени М.В. Ломоносова", федеральное государственное образовательное бюджетное учреждение высшего образования "Финансовый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</w:t>
      </w:r>
      <w:r w:rsidRPr="00A43E1A">
        <w:rPr>
          <w:rFonts w:ascii="PT Astra Serif" w:hAnsi="PT Astra Serif"/>
          <w:sz w:val="28"/>
          <w:szCs w:val="28"/>
        </w:rPr>
        <w:lastRenderedPageBreak/>
        <w:t>университет при Правительстве Российской Федерации", федеральное государственное бюджетное образовательное учреждение высшего образования "Российский экономический университет имени Г.В. Плеханова") созданы 5 федеральных методических центров повышения финансовой грамотности населения, осуществляющих образовательно-просветительскую работу с разными возрастными группами граждан (учащиеся, студенты, взрослые граждане, граждане старшего возраста);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обучено более 135 тыс. педагогических работников общеобразовательных и профессиональных образовательных организаций, преподавателей и работников административно-управленческого персонала образовательных организаций высшего образования, а также специалистов в области финансового просвещения по программам повышения квалификации, содержащим элементы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проведены олимпиады по финансовой грамотности, в которых приняли участие более 350 тыс. учащихся и студентов;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 xml:space="preserve">совокупный охват информационно-коммуникационной кампанией в области финансового просвещения составил свыше 60 млн. граждан (включая целевые аудитории, находящиеся в фокусе реализации </w:t>
      </w:r>
      <w:hyperlink r:id="rId26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2017 - 2023 годов, а именно граждан старшего возраста, лиц с ограниченными возможностями здоровья, граждан, попавших в сложную финансовую ситуацию, детей-сирот и детей, оставшихся без попечения родителей, представителей малого и среднего предпринимательства, военнослужащих), в том числе путем: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 xml:space="preserve">организации и проведения мероприятий с использованием цифрового и онлайн-форматов (в различных мероприятиях, онлайн-уроках и обучающих </w:t>
      </w:r>
      <w:proofErr w:type="spellStart"/>
      <w:r w:rsidRPr="00A43E1A">
        <w:rPr>
          <w:rFonts w:ascii="PT Astra Serif" w:hAnsi="PT Astra Serif"/>
          <w:sz w:val="28"/>
          <w:szCs w:val="28"/>
        </w:rPr>
        <w:t>вебинарах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по финансовой грамотности, реализованных Министерством финансов Российской Федерации и Центральным банком Российской Федерации совместно с партнерами, только в 2022 году приняли участие более 30 млн. граждан, в том числе свыше 12 млн. граждан посмотрели онлайн-уроки финансовой грамотности, более 3 млн. граждан приняли участие в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43E1A">
        <w:rPr>
          <w:rFonts w:ascii="PT Astra Serif" w:hAnsi="PT Astra Serif"/>
          <w:sz w:val="28"/>
          <w:szCs w:val="28"/>
        </w:rPr>
        <w:t>онлайн-зачете по финансовой грамотности, более 4,3 млн. граждан стали аудиторией ипотечного марафона, ежемесячно порталы "Финансовая культура" и "Мои финансы" посещали 1,1 млн. уникальных пользователей);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A43E1A">
        <w:rPr>
          <w:rFonts w:ascii="PT Astra Serif" w:hAnsi="PT Astra Serif"/>
          <w:sz w:val="28"/>
          <w:szCs w:val="28"/>
        </w:rPr>
        <w:t>медийного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продвижения информационных материалов по финансовой грамотности с использованием цифровых ресурсов, в том числе официальных сайтов участников реализации </w:t>
      </w:r>
      <w:hyperlink r:id="rId27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2017 - 2023 годов, а также федеральной государственной информационной системы "Единый портал государственных и муниципальных услуг (функций)", средств массовой информации и социальных сетей, онлайн-приложений и голосовых помощников, мультфильмов и онлайн-игр по финансовой грамотности, форматов социальной рекламы;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организовано движение волонтеров финансового просвещения, насчитывающее более 11 тыс. граждан во всех регионах страны, активно осуществляющих просветительскую деятельность со всеми целевыми аудиториями, в том числе с гражданами старшего возраста, жителями отдаленных населенных пунктов, лицами, оказавшимися в трудной жизненной ситуации;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на системной основе обеспечена координационная и экспертная поддержка деятельности субъектов Российской Федерации, по итогам которой: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85 регионах утверждены и реализуются собственные программы повышения финансовой грамотности, созданы координационные органы по вопросам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53 регионах созданы и функционируют региональные центры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 77 регионах реализуются практики инициативного бюджетирования и (или) иные практики вовлечения граждан в процессы управления, основанные на </w:t>
      </w:r>
      <w:proofErr w:type="gramStart"/>
      <w:r w:rsidRPr="00A43E1A">
        <w:rPr>
          <w:rFonts w:ascii="PT Astra Serif" w:hAnsi="PT Astra Serif"/>
          <w:sz w:val="28"/>
          <w:szCs w:val="28"/>
        </w:rPr>
        <w:t>интернет-решениях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(далее - иные практики), благодаря которым граждане вовлекаются в процесс формирования, обсуждения, принятия и реализации решений, в том числе в бюджетной сфере;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14 регионах созданы ресурсные центры волонтеров финансового просвещения.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Таким образом, за период реализации </w:t>
      </w:r>
      <w:hyperlink r:id="rId28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2017 - 2023 годов удалось добиться заметных успехов в сфере повышения финансовой грамотности.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Результаты проведенного в 2022 году исследования свидетельствуют о том, что уровень финансовой грамотности граждан страны в целом вырос. </w:t>
      </w:r>
      <w:proofErr w:type="gramStart"/>
      <w:r w:rsidRPr="00A43E1A">
        <w:rPr>
          <w:rFonts w:ascii="PT Astra Serif" w:hAnsi="PT Astra Serif"/>
          <w:sz w:val="28"/>
          <w:szCs w:val="28"/>
        </w:rPr>
        <w:t>Улучшилось понимание россиянами сути таких понятий, как "ссудный процент" (увеличение доли правильных ответов с 68 процентов в 2017 году до 75 процентов в 2022 году) и "инфляция" (увеличение доли правильных ответов с 78 процентов в 2017 году до 81 процента в 2022 году), усилилось осознание ответственности в отношении долгового поведения (увеличение доли правильных ответов с 65 процентов в 2017 году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до 69 процентов в 2022 году), повысилась информированность об организациях, защищающих права пользователей финансовых услуг (увеличение доли правильных ответов с 38 процентов в 2017 году до 51 процента в 2022 году).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Финансовое поведение граждан в отдельных аспектах стало более устойчивым и осознанным. Выросли доли опрошенных граждан: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имеющих денежный запас на непредвиденный случай (с 37 процентов в 2017 году до 47 процентов в 2022 году);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самостоятельно принимающих финансовые решения (с 38 процентов в 2017 году до 51 процента в 2022 году);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распределяющих свои доходы так, чтобы их хватало на текущие расходы (с 54 процентов в 2017 году до 62 процентов в 2022 году).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Результаты опросов граждан показывают, что граждане с более высоким уровнем финансовой грамотности имеют более достоверные инфляционные ожидания, а значит, могут более рационально планировать свои финансы.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>Положительный эффект от популяризации финансовой грамотности особенно сильно отражается в росте показателей финансовой грамотности молодежи - по итогам исследования молодые люди демонстрируют более рациональное и ответственное финансовое поведение (33 процента осознанно выбирают финансовую услугу по сравнению с 27 процентами взрослых граждан, 55 процентов делают сбережения по сравнению с 45 процентами взрослых граждан), лучше разбираются в цифровых и инвестиционных финансовых инструментах (60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процентов используют двойную аутентификацию при пользовании финансами онлайн по сравнению с 36 процентами взрослых граждан, 23 процента активно инвестируют по сравнению с 11 процентами взрослых граждан). Существенное влияние на это оказало внедрение финансовой грамотности в образовательный процесс.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Вместе с тем достигнутые результаты не в полной мере отвечают целям формирования устойчивых моделей финансового поведения. Значительное количество граждан не строит долгосрочные планы (75 процентов), не формирует сбережения в значимых объемах (53 процента). </w:t>
      </w:r>
      <w:proofErr w:type="gramStart"/>
      <w:r w:rsidRPr="00A43E1A">
        <w:rPr>
          <w:rFonts w:ascii="PT Astra Serif" w:hAnsi="PT Astra Serif"/>
          <w:sz w:val="28"/>
          <w:szCs w:val="28"/>
        </w:rPr>
        <w:t>Необходимы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повышение информированности граждан об инструментах финансового рынка и формирование навыков осознанного (рационального) выбора этих инструментов.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>Согласно опросу, проведенному в 2022 году при участии автономной некоммерческой организации "Международный учебно-методический центр финансового мониторинга", каждый второй молодой россиянин в возрасте от 14 до 35 лет (53 процента) считает, что ему не хватает знаний об основах финансовой безопасности, чтобы защитить себя от мошенничества и других рисков потери денег, 87 процентов россиян моложе 35 лет заявляют о желании повысить свою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грамотность в этой сфере.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Уровень финансовой грамотности заметно различается в разных группах граждан. Люди более молодого возраста, а также граждане с высоким доходом, что часто обусловлено высоким уровнем образования и (или) проживанием в крупном городе, демонстрируют большую финансовую активность и, как следствие, более высокий уровень финансовой грамотности.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Заметно меньшую финансовую компетентность проявляют граждане </w:t>
      </w:r>
      <w:r w:rsidRPr="00A43E1A">
        <w:rPr>
          <w:rFonts w:ascii="PT Astra Serif" w:hAnsi="PT Astra Serif"/>
          <w:sz w:val="28"/>
          <w:szCs w:val="28"/>
        </w:rPr>
        <w:lastRenderedPageBreak/>
        <w:t>старшего возраста, граждане с невысоким уровнем доходов, низким уровнем образования и граждане, проживающие в небольших населенных пунктах.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Взрослые граждане, в отличие от молодежи, менее восприимчивы к новой информации. Взрослый гражданин готов изучать новые для себя вопросы в случае возникновения интереса к ним, при необходимости (например, для решения профессиональных или личных практических задач, при существенных изменениях внешней среды) или под влиянием общественного мнения, поведения окружающих людей (эффект социального подражания). Поэтому в рамках реализации Стратегии необходимо повысить заинтересованность взрослых граждан в финансовой грамотности и формировании финансовой культуры.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На современном этапе рост благополучия граждан может обеспечить их более активное осознанное участие в российской экономике, что, в свою очередь, будет фактором ее развития. Финансовая грамотность является необходимым, но не достаточным условием такого участия. Знания и компетенции не всегда автоматически обеспечивают продуктивное финансовое поведение, особенно в ситуации, если они вступают в конфликт с социокультурными установками и ценностями людей - например, низким уровнем доверия, коротким горизонтом планирования, недостаточным самоконтролем и ответственностью.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Необходимо также учитывать, что быстрое развитие цифровых технологий существенно изменило традиционные подходы к оказанию финансовых услуг, повысило требования </w:t>
      </w:r>
      <w:proofErr w:type="gramStart"/>
      <w:r w:rsidRPr="00A43E1A">
        <w:rPr>
          <w:rFonts w:ascii="PT Astra Serif" w:hAnsi="PT Astra Serif"/>
          <w:sz w:val="28"/>
          <w:szCs w:val="28"/>
        </w:rPr>
        <w:t>к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киберграмотности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, под которой понимаются основные знания, умения и навыки граждан в области безопасного пользования цифровыми финансовыми технологиями. В настоящее время многие граждане в России могут совершать большинство финансовых операций в онлайн-режиме круглосуточно с помощью мобильных приложений. Развитие подобных решений наряду с плюсами для потребителей финансовых услуг привело также к росту мошеннических действий с использованием цифровых технологий, увеличению количества нелегальных участников финансового рынка и "финансовых пирамид", осуществляющих деятельность посредством информационно-телекоммуникационной сети "Интернет". В этой связи в ближайшие годы приоритет в вопросах финансовой безопасности будут иметь вопросы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, под которой понимается совокупность методов и практик управления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киберрисками</w:t>
      </w:r>
      <w:proofErr w:type="spellEnd"/>
      <w:r w:rsidRPr="00A43E1A">
        <w:rPr>
          <w:rFonts w:ascii="PT Astra Serif" w:hAnsi="PT Astra Serif"/>
          <w:sz w:val="28"/>
          <w:szCs w:val="28"/>
        </w:rPr>
        <w:t>, в том числе защиты от атак злоумышленников в отношении цифровых финансовых технологий.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Поэтому в рамках реализации Стратегии ставится задача перехода от финансовой грамотности как набора знаний, умений и навыков к финансовой культуре, которая включает в себя ценности, установки и поведенческие практики, определяет качество использования гражданами финансовой грамотности. Для этого необходимо целенаправленное воздействие на все </w:t>
      </w:r>
      <w:r w:rsidRPr="00A43E1A">
        <w:rPr>
          <w:rFonts w:ascii="PT Astra Serif" w:hAnsi="PT Astra Serif"/>
          <w:sz w:val="28"/>
          <w:szCs w:val="28"/>
        </w:rPr>
        <w:lastRenderedPageBreak/>
        <w:t>компоненты финансовой культуры через различные каналы коммуникации и соответствующих субъектов - государство, образовательные организации, финансовые организации, бизнес, креативные индустрии, добровольцев (волонтеров), семью, гражданское общество.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Положительное влияние на уровень финансовой культуры будут оказывать опыт пользования разнообразными финансовыми продуктами и услугами, рост уровня доходов, повышение доступности финансовых услуг и вовлеченности граждан в операции на финансовом рынке. Важную роль в этих процессах будет играть </w:t>
      </w:r>
      <w:proofErr w:type="spellStart"/>
      <w:r w:rsidRPr="00A43E1A">
        <w:rPr>
          <w:rFonts w:ascii="PT Astra Serif" w:hAnsi="PT Astra Serif"/>
          <w:sz w:val="28"/>
          <w:szCs w:val="28"/>
        </w:rPr>
        <w:t>клиентоориентированный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и этичный финансовый бизнес, нацеленный на долгосрочные взаимовыгодные отношения с клиентами.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процессе формирования финансовой культуры необходимо учитывать и факторы, связанные с самой природой человека, когнитивные и эмоциональные механизмы финансового поведения, которые приводят к ошибкам и нерациональным действиям. Поэтому повышение уровня финансовой культуры должно включать в себя не только финансовое просвещение, но и обучение людей общим навыкам принятия решений в условиях неопределенности и с учетом когнитивных искажений.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 начале десятилетия российская экономика и финансовый рынок столкнулись с серьезными вызовами, включая новую </w:t>
      </w:r>
      <w:proofErr w:type="spellStart"/>
      <w:r w:rsidRPr="00A43E1A">
        <w:rPr>
          <w:rFonts w:ascii="PT Astra Serif" w:hAnsi="PT Astra Serif"/>
          <w:sz w:val="28"/>
          <w:szCs w:val="28"/>
        </w:rPr>
        <w:t>коронавирусную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инфекцию (COVID-19), геополитическую турбулентность, широкомасштабные санкции со стороны ряда зарубежных государств и связанную с этим "заморозку" иностранных активов частных инвесторов. Эти вызовы потребовали оперативных решений Правительства Российской Федерации и Центрального банка Российской Федерации, принятия новых нормативных правовых актов. Граждане, со своей стороны, также продемонстрировали высокий уровень адаптации к внешним факторам, способность преодолевать кризисные явления, чему </w:t>
      </w:r>
      <w:proofErr w:type="gramStart"/>
      <w:r w:rsidRPr="00A43E1A">
        <w:rPr>
          <w:rFonts w:ascii="PT Astra Serif" w:hAnsi="PT Astra Serif"/>
          <w:sz w:val="28"/>
          <w:szCs w:val="28"/>
        </w:rPr>
        <w:t>способствовала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в том числе и последовательно проводившаяся в предыдущие годы работа по повышению финансовой грамотности.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Реализация </w:t>
      </w:r>
      <w:hyperlink r:id="rId29">
        <w:r w:rsidRPr="00A43E1A">
          <w:rPr>
            <w:rFonts w:ascii="PT Astra Serif" w:hAnsi="PT Astra Serif"/>
            <w:sz w:val="28"/>
            <w:szCs w:val="28"/>
          </w:rPr>
          <w:t>Стратегии</w:t>
        </w:r>
      </w:hyperlink>
      <w:r w:rsidRPr="00A43E1A">
        <w:rPr>
          <w:rFonts w:ascii="PT Astra Serif" w:hAnsi="PT Astra Serif"/>
          <w:sz w:val="28"/>
          <w:szCs w:val="28"/>
        </w:rPr>
        <w:t xml:space="preserve"> 2017 - 2023 годов позволила заложить устойчивый фундамент для дальнейшего повышения финансовой грамотности и формирования финансовой культуры граждан. Сформирована система управления программами повышения финансовой грамотности на федеральном и региональном уровнях в их взаимосвязи, внедрены эффективные инструменты продвижения финансовой грамотности в рамках системы образования, создана базовая архитектура работы </w:t>
      </w:r>
      <w:proofErr w:type="gramStart"/>
      <w:r w:rsidRPr="00A43E1A">
        <w:rPr>
          <w:rFonts w:ascii="PT Astra Serif" w:hAnsi="PT Astra Serif"/>
          <w:sz w:val="28"/>
          <w:szCs w:val="28"/>
        </w:rPr>
        <w:t>со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взрослыми гражданами через информационно-просветительские мероприятия.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Это позволяет ставить более сложные задачи на горизонт до 2030 года, связанные с формированием финансовой культуры и финансово грамотного поведения.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III. Цели и задачи Стратегии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Целью Стратегии является формирование к 2030 году у большинства граждан Российской Федерации ключевых элементов финансовой культуры (ценностей, установок и поведенческих практик), способствующих финансовому благополучию гражданина, семьи и общества, в том числе через формирование компетенций по финансовой грамотности, расширение практических навыков и опыта принятия финансовых решений, обеспечение надежности функционирования финансовой системы.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Формирование финансовой культуры будет служить интересам граждан, бизнеса и общества в целом, способствовать повышению благосостояния граждан, достижению национальных целей развития Российской Федерации, решению приоритетных задач. Результатами повышения финансовой культуры должны стать увеличение горизонта планирования граждан, их способности осознанно формулировать финансовые и инвестиционные цели и обеспечивать их реализацию, повышение приемлемости осознанного риска при исключении неоправданно рискованного поведения, рост доверия в целом и, в частности, доверия граждан к финансовым институтам.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Эти результаты внесут вклад в повышение реальных доходов и финансового благополучия граждан, увеличение потенциала формирования долгосрочных сбережений и инвестиций в российской экономике, что будет способствовать ее структурной трансформации и более эффективному развитию, снижению рисков для финансовой стабильности.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Повышение доверия граждан, в том числе к финансовым институтам, является комплексной задачей, характеризующей общее состояние финансовой культуры в экономике и обществе, и зависит от множества факторов. Такое повышение основывается на развитии финансового рынка, культуры государственных институтов и финансовых организаций, права и правоприменительной практики, защите интересов граждан и участников финансового рынка. Развитие финансовой грамотности и формирование финансовой культуры должны способствовать повышению доверия при снижении рисков финансовой стабильности и индивидуальных рисков граждан.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 равной мере финансовая грамотность и финансовая культура важны для формирования поведения граждан в сфере общественных финансов. </w:t>
      </w:r>
      <w:proofErr w:type="gramStart"/>
      <w:r w:rsidRPr="00A43E1A">
        <w:rPr>
          <w:rFonts w:ascii="PT Astra Serif" w:hAnsi="PT Astra Serif"/>
          <w:sz w:val="28"/>
          <w:szCs w:val="28"/>
        </w:rPr>
        <w:t xml:space="preserve">В целях лучшего понимания гражданами важности роли общественных финансов в их жизни и своих возможностей принимать участие в бюджетном процессе необходимо акцентировать внимание в первую очередь на воспитании гражданской ответственности, укреплении доверия граждан к органам государственной власти и органам местного самоуправления, на существующих инструментах участия граждан в бюджетном процессе и </w:t>
      </w:r>
      <w:r w:rsidRPr="00A43E1A">
        <w:rPr>
          <w:rFonts w:ascii="PT Astra Serif" w:hAnsi="PT Astra Serif"/>
          <w:sz w:val="28"/>
          <w:szCs w:val="28"/>
        </w:rPr>
        <w:lastRenderedPageBreak/>
        <w:t>общественного контроля за эффективным использованием бюджетных средств.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Повышение финансовой грамотности и формирование финансовой культуры граждан в результате реализации Стратегии будут </w:t>
      </w:r>
      <w:proofErr w:type="gramStart"/>
      <w:r w:rsidRPr="00A43E1A">
        <w:rPr>
          <w:rFonts w:ascii="PT Astra Serif" w:hAnsi="PT Astra Serif"/>
          <w:sz w:val="28"/>
          <w:szCs w:val="28"/>
        </w:rPr>
        <w:t>способствовать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в том числе достижению ключевых целей развития российского финансового рынка, определенных </w:t>
      </w:r>
      <w:hyperlink r:id="rId30">
        <w:r w:rsidRPr="00A43E1A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A43E1A">
        <w:rPr>
          <w:rFonts w:ascii="PT Astra Serif" w:hAnsi="PT Astra Serif"/>
          <w:sz w:val="28"/>
          <w:szCs w:val="28"/>
        </w:rPr>
        <w:t xml:space="preserve"> развития финансового рынка Российской Федерации до 2030 года, утвержденной распоряжением Правительства Российской Федерации от 29 декабря 2022 г. N 4355-р. Наиболее актуальными вопросами в этой сфере являются: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>расширение долгосрочных инвестиций граждан в российскую экономику, в том числе с использованием государственных ценных бумаг Российской Федерации и субъектов Российской Федерации, включая облигации для населения, механизма индивидуальных инвестиционных счетов, вовлечение граждан в долгосрочные сбережения с использованием пассивных инвестиционных стратегий при посредничестве управляющих компаний, негосударственных пенсионных фондов и страховщиков, долгосрочных безотзывных вкладов и сберегательных сертификатов, основанное на понимании возможных рисков;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поддержка формирования достаточного уровня сбережений граждан ("финансовые подушки безопасности"), в том числе для социально незащищенных категорий граждан, а также информирование об инструментах формирования долгосрочных накоплений;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развитие страхования жизни как долгосрочного инструмента защиты имущественных интересов граждан;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повышение доверия граждан к системе добровольного пенсионного страхования и их вовлеченности в программы негосударственного пенсионного обеспечения.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Стратегия направлена на повышение финансовой грамотности и формирование финансовой культуры, рост благосостояния всех граждан страны и ориентирована на учет потребностей и возможностей гражданина на разных стадиях его жизненного цикла. Вместе с тем в ней учитываются интересы отдельных групп граждан, для которых требуются специальные меры и программы по повышению их финансовой грамотности и формированию их финансовой культуры с учетом возможностей и жизненных ситуаций. Стратегия также способствует повышению уровня финансовой безопасности, в том числе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A43E1A">
        <w:rPr>
          <w:rFonts w:ascii="PT Astra Serif" w:hAnsi="PT Astra Serif"/>
          <w:sz w:val="28"/>
          <w:szCs w:val="28"/>
        </w:rPr>
        <w:t>, граждан Российской Федерации.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Для достижения поставленной цели необходимо решить следующие взаимосвязанные задачи Стратегии: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продвижение ценностей и формирование установок финансовой культуры среди взрослых экономически активных граждан в целях выработки осознанных и рациональных поведенческих практик;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сохранение и развитие накопленного опыта в рамках системы образования по повышению финансовой грамотности детей и молодежи, дополнение образовательных программ элементами финансовой культуры;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использование различных каналов коммуникаций по актуальным вопросам финансовой грамотности и финансовой культуры в целях формирования и закрепления навыков осознанного финансового поведения граждан;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ведение целевой информационно-просветительской деятельности в отношении отдельных групп граждан;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расширение положительного опыта использования гражданами финансовых продуктов и услуг, сопровождаемое экспертизой со стороны государства и гражданского общества качества и потребительской ценности предлагаемых на рынке финансовых продуктов и услуг;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формирование доверительного отношения граждан к финансовому рынку и финансовым институтам;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обеспечение финансовой безопасности, в том числе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A43E1A">
        <w:rPr>
          <w:rFonts w:ascii="PT Astra Serif" w:hAnsi="PT Astra Serif"/>
          <w:sz w:val="28"/>
          <w:szCs w:val="28"/>
        </w:rPr>
        <w:t>, путем формирования у граждан навыков, установок и поведенческих практик для защиты от возможных рисков в финансовой сфере, эффективного противодействия нелегальной деятельности на финансовом рынке и мошенничеству;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обеспечение подготовки кадров в сфере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обеспечение регулярного мониторинга состояния финансовой грамотности и финансовой культуры в Российской Федерации, в том числе по субъектам Российской Федерации;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обеспечение открытости (прозрачности) бюджетов бюджетной системы Российской Федерации для осуществления контроля за эффективным использованием бюджетных сре</w:t>
      </w:r>
      <w:proofErr w:type="gramStart"/>
      <w:r w:rsidRPr="00A43E1A">
        <w:rPr>
          <w:rFonts w:ascii="PT Astra Serif" w:hAnsi="PT Astra Serif"/>
          <w:sz w:val="28"/>
          <w:szCs w:val="28"/>
        </w:rPr>
        <w:t>дств в ц</w:t>
      </w:r>
      <w:proofErr w:type="gramEnd"/>
      <w:r w:rsidRPr="00A43E1A">
        <w:rPr>
          <w:rFonts w:ascii="PT Astra Serif" w:hAnsi="PT Astra Serif"/>
          <w:sz w:val="28"/>
          <w:szCs w:val="28"/>
        </w:rPr>
        <w:t>елях воспитания гражданской ответственности и укрепления доверия граждан к органам государственной власти и органам местного самоуправления.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IV. Ожидаемые результаты реализации Стратегии, ключевые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характеристики финансовой грамотности и финансовой культуры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Основным результатом реализации Стратегии является повышение уровня финансовой грамотности и финансовой культуры, отраженное в следующих характеристиках: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в сфере личных финансов: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планирование финансов, ведение учета личных доходов и расходов, умение ставить перед собой краткосрочные и долгосрочные финансовые цели и выстраивать траекторию достижения этих целей;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установка на рациональное и ответственное потребление во всех сферах жизнедеятельности, умение отказаться от спонтанных трат;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осознанный выбор финансовой организации и умение проверить ее надежность, умение выбрать финансовые продукты, соответствующие жизненной ситуации и целям гражданина;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пользоваться платежными инструментами;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ответственное заимствование, умение оценить свои финансовые возможности при принятии решения о получении кредита (займа), дисциплинированное обслуживание кредитов (займов), понимание кредитной истории, индивидуального кредитного рейтинга, условий личного банкротства и его последствий;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наличие установки на формирование сбережений для различных жизненных ситуаций (крупные покупки, непредвиденные трудности, будущая пенсия и др.) и умение реализовать эту установку, формирование и поддержание резервного фонда ("финансовой подушки безопасности") на 3 - 6 месяцев;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понимание сущности инвестирования и адекватное представление об уровне принимаемых рыночных, кредитных, операционных, инфраструктурных, других внешних и внутренних рисков, умение выбирать подходящие инвестиционные продукты с учетом приемлемого уровня риска, установка на диверсификацию и долгосрочность вложений;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управлять личными рисками, в том числе путем страхования, осознанный выбор подходящих страховых продуктов;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планирование и регулярное формирование дополнительных накоплений к будущей пенсии;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защищать свои права потребителя с помощью правовых инструментов, в том числе в цифровой среде;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понимание сути инфляции, информированность о целевом показателе инфляции и его учет при формировании инфляционных ожиданий, потребительских и сберегательных стратегий;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готовность к приобретению знаний о новых финансовых технологиях и финансовых инструментах (цифровой рубль, партнерское финансирование, цифровые финансовые активы, утилитарные цифровые права, </w:t>
      </w:r>
      <w:proofErr w:type="spellStart"/>
      <w:r w:rsidRPr="00A43E1A">
        <w:rPr>
          <w:rFonts w:ascii="PT Astra Serif" w:hAnsi="PT Astra Serif"/>
          <w:sz w:val="28"/>
          <w:szCs w:val="28"/>
        </w:rPr>
        <w:t>криптоактивы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, </w:t>
      </w:r>
      <w:r w:rsidRPr="00A43E1A">
        <w:rPr>
          <w:rFonts w:ascii="PT Astra Serif" w:hAnsi="PT Astra Serif"/>
          <w:sz w:val="28"/>
          <w:szCs w:val="28"/>
        </w:rPr>
        <w:lastRenderedPageBreak/>
        <w:t>инвестиционные платформы, финансовые платформы, использование искусственного интеллекта в финансовой сфере и др.) и осознанный подход к их использованию в своей практике;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сфере общественных финансов: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понимание смысла уплаты налогов как источника доходов государства, благодаря которому оно предоставляет гражданам необходимые им блага;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установка на официальное трудоустройство, понимание взаимосвязи официальной заработной платы и уровня пенсионного обеспечения в будущем;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установка на соблюдение положений законодательства Российской Федерации о налогах и сборах, ориентация на работу с официальной зарплатой, регистрацией в качестве индивидуального предпринимателя или плательщика налога на профессиональный доход;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выбор подходящего налогового режима для бизнеса, использование полагающихся налоговых льгот;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знания о бюджетах бюджетной системы Российской Федерации, о структуре их доходов и направлениях расходов;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установка на участие в проектах инициативного бюджетирования, иных практиках, а также использование других существующих инструментов участия граждан в бюджетном процессе;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использование полагающихся по закону государственных и муниципальных услуг и льгот, социальных выплат;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 сфере финансовой безопасности, в том числе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A43E1A">
        <w:rPr>
          <w:rFonts w:ascii="PT Astra Serif" w:hAnsi="PT Astra Serif"/>
          <w:sz w:val="28"/>
          <w:szCs w:val="28"/>
        </w:rPr>
        <w:t>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понимание требований финансовой безопасности как личной ответственности потребителя, соблюдение правил финансовой безопасности при управлении личными финансами;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знание и умение безопасно пользоваться цифровыми финансовыми технологиями;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распознавать нелегальных участников финансового рынка и "финансовые пирамиды", распознавать и противостоять угрозе мошенничества, в том числе связанного с использованием социальной инженерии;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осмотрительно относиться к размещению в информационно-телекоммуникационной сети "Интернет" личных данных, в том числе финансовых, сокращать свой "цифровой след";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установка на взаимодействие с финансовыми организациями и правоохранительными органами в случае обнаружения мошеннических действий.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При этом работа в рамках реализации Стратегии должна учитывать характеристики финансовой грамотности и финансовой культуры на отдельных стадиях жизненного цикла гражданина, быть сконцентрированной на актуальных вопросах для детей и подростков, молодых граждан, взрослых экономически активных граждан и граждан старшего возраста;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отношении детей и подростков - освоение базовых основ финансовой грамотности и финансовой культуры через образование, воспитание и опыт: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базовое понимание того, что такое деньги, как их можно заработать и как их правильно тратить, как планировать личный бюджет, ставить и достигать финансовые цели;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получение первого опыта откладывания денег на самостоятельные покупки;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получение базовых представлений об основах безопасного пользования цифровыми финансовыми технологиями;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обучение базовым навыкам математических расчетов и критического мышления, необходимых для действий в финансовой сфере;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получение базовых представлений о том, как устроен финансовый рынок, какие на нем существуют организации и финансовые продукты, получение первого опыта использования доступных финансовых продуктов;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получение базовых представлений о том, как устроены бюджеты бюджетной системы Российской Федерации, получение первого опыта работы с информацией в формате "Бюджет для граждан";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выработка установки на участие в практиках школьного инициативного бюджетирования, иных практиках;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получение базовых представлений о том, какие риски существуют в сфере финансов и как с ними справляться;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отношении молодых граждан - владение навыками и установками для удовлетворения текущих потребностей и формирование основы для удовлетворения будущих потребностей: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рационально распоряжаться деньгами, освоение навыков финансового планирования;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умение выбирать и использовать подходящие кредитные продукты, в том числе ипотеку (с учетом недостаточности собственных доходов на </w:t>
      </w:r>
      <w:r w:rsidRPr="00A43E1A">
        <w:rPr>
          <w:rFonts w:ascii="PT Astra Serif" w:hAnsi="PT Astra Serif"/>
          <w:sz w:val="28"/>
          <w:szCs w:val="28"/>
        </w:rPr>
        <w:lastRenderedPageBreak/>
        <w:t>покрытие всех потребностей на этой стадии жизненного цикла);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осознание необходимости начинать формировать сбережения и инвестировать свободные средства как можно раньше, в том числе для формирования стабильных доходов в будущем;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выработка установки на добросовестное отношение к налогам;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осознание того, что участие в практиках инициативного бюджетирования, иных практиках является инструментом формирования комфортной среды, а также фактором развития территории;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отношении взрослых экономически активных граждан - обеспечение финансовой устойчивости и благополучия на протяжении всего жизненного цикла: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ставить и достигать долгосрочные финансовые цели;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жить по средствам и не допускать дефицита личного бюджета;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рациональное использование кредитных продуктов;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инвестирование существенной части свободных денежных средств, формирование пенсионных накоплений;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понимание разнообразных финансовых рисков и обеспечение защиты от них;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участие в публичных слушаниях и (или) общественных обсуждениях проектов бюджетов субъектов Российской Федерации и местных бюджетов и годовых отчетов об их исполнении, создание благоприятных условий жизни посредством участия в практиках инициативного бюджетирования, иных практиках;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забота о финансовом благополучии </w:t>
      </w:r>
      <w:proofErr w:type="gramStart"/>
      <w:r w:rsidRPr="00A43E1A">
        <w:rPr>
          <w:rFonts w:ascii="PT Astra Serif" w:hAnsi="PT Astra Serif"/>
          <w:sz w:val="28"/>
          <w:szCs w:val="28"/>
        </w:rPr>
        <w:t>близких</w:t>
      </w:r>
      <w:proofErr w:type="gramEnd"/>
      <w:r w:rsidRPr="00A43E1A">
        <w:rPr>
          <w:rFonts w:ascii="PT Astra Serif" w:hAnsi="PT Astra Serif"/>
          <w:sz w:val="28"/>
          <w:szCs w:val="28"/>
        </w:rPr>
        <w:t>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отношении граждан старшего возраста - обеспечение комфортного уровня жизни, защита от рисков и мошенничества: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рационально использовать имеющиеся накопления;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отказываться от чрезмерно рискованных инвестиционных и кредитных продуктов;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готовность получать новые знания и навыки управления личными финансами, в том числе с применением цифровых финансовых технологий;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знание и использование налоговых льгот, социальных выплат, государственных и муниципальных услуг, полагающихся гражданам старшего возраста;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участие в бюджетном процессе, в том числе посредством практик инициативного бюджетирования, иных практик, в том числе в целях решения актуальных проблем граждан и создания благоприятных условий жизни для следующих поколений;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умение распознавать и противостоять мошенничеству, установка на необходимость советоваться с родственниками или другими людьми, заслуживающими доверия, в вызывающих опасения ситуациях.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V. Основные направления реализации Стратегии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Основными направлениями реализации Стратегии являются: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информационно-просветительская деятельность;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образовательная деятельность;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подготовка кадров в сфере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с финансовыми организациями;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с бизнесом;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с гражданским обществом и некоммерческими организациями;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развитие международного сотрудничества;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развитие практик </w:t>
      </w:r>
      <w:proofErr w:type="gramStart"/>
      <w:r w:rsidRPr="00A43E1A">
        <w:rPr>
          <w:rFonts w:ascii="PT Astra Serif" w:hAnsi="PT Astra Serif"/>
          <w:sz w:val="28"/>
          <w:szCs w:val="28"/>
        </w:rPr>
        <w:t>инициативного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бюджетирования, иных практик, а также обеспечение открытости бюджетной информации.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1. Информационно-просветительская деятельность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Целью информационно-просветительской деятельности являются популяризация финансовой грамотности и финансовой культуры, содействие закреплению знаний и навыков осознанного финансового поведения, продвижение ценностей и установок финансовой культуры в целях выработки разумных поведенческих практик.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задачи информационно-просветительской деятельности в области повышения финансовой грамотности и формирования финансовой культуры входят: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формирование общественного интереса к различным аспектам повышения финансовой грамотности и формирования финансовой культуры граждан через социальную рекламу и другие каналы информирования, включая продукцию креативных индустрий;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 xml:space="preserve">продвижение ценностей и установок, обеспечивающих финансовое </w:t>
      </w:r>
      <w:r w:rsidRPr="00A43E1A">
        <w:rPr>
          <w:rFonts w:ascii="PT Astra Serif" w:hAnsi="PT Astra Serif"/>
          <w:sz w:val="28"/>
          <w:szCs w:val="28"/>
        </w:rPr>
        <w:lastRenderedPageBreak/>
        <w:t>благополучие граждан и финансовую безопасность, в том числе ответственное заимствование, культуру сбережений и инвестирования денежных средств, повышение доверия к финансовому рынку и осведомленности о возможности вложения денежных средств в российскую экономику, контроль за персональными рисками и их страхование, отказ от нелегальных или непонятных финансовых продуктов;</w:t>
      </w:r>
      <w:proofErr w:type="gramEnd"/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продвижение знаний, умений и навыков безопасного пользования цифровыми финансовыми технологиями, обеспечивающих </w:t>
      </w:r>
      <w:proofErr w:type="gramStart"/>
      <w:r w:rsidRPr="00A43E1A">
        <w:rPr>
          <w:rFonts w:ascii="PT Astra Serif" w:hAnsi="PT Astra Serif"/>
          <w:sz w:val="28"/>
          <w:szCs w:val="28"/>
        </w:rPr>
        <w:t>финансовую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кибербезопасность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граждан и бизнеса;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участников реализации Стратегии с различными аудиториями, включающими социально уязвимые группы граждан, с учетом их потребностей;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координация и взаимодействие между участниками реализации Стратегии, способствующие созданию информационно-просветительского контента, для повышения доверия потребителей к соответствующей информации;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развитие эффективных каналов коммуникаций с учетом актуальных форматов и </w:t>
      </w:r>
      <w:proofErr w:type="spellStart"/>
      <w:r w:rsidRPr="00A43E1A">
        <w:rPr>
          <w:rFonts w:ascii="PT Astra Serif" w:hAnsi="PT Astra Serif"/>
          <w:sz w:val="28"/>
          <w:szCs w:val="28"/>
        </w:rPr>
        <w:t>медиаресурсов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(специализированные информационные ресурсы, официальные сайты участников Стратегии в информационно-телекоммуникационной сети "Интернет", социальные сети, </w:t>
      </w:r>
      <w:proofErr w:type="spellStart"/>
      <w:r w:rsidRPr="00A43E1A">
        <w:rPr>
          <w:rFonts w:ascii="PT Astra Serif" w:hAnsi="PT Astra Serif"/>
          <w:sz w:val="28"/>
          <w:szCs w:val="28"/>
        </w:rPr>
        <w:t>мессенджеры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и др.), распространение информационно-просветительского контента через различные каналы в форматах, удобных разным целевым аудиториям;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обеспечение информирования о важности роли общественных финансов в жизни граждан, о доступных мерах социальной поддержки, а также о взаимосвязи официальной заработной платы и будущего уровня пенсионного обеспечения.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2. Образовательная деятельность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Целью образовательной деятельности являются распространение и систематизация знаний по финансовой грамотности и создание предпосылок для формирования финансовой культуры.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задачи образовательной деятельности в области повышения финансовой грамотности и формирования финансовой культуры входят: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обеспечение системного подхода к повышению финансовой грамотности и формированию финансовой культуры граждан, повышению уровня финансовой безопасности, в том числе финансовой </w:t>
      </w:r>
      <w:proofErr w:type="spellStart"/>
      <w:r w:rsidRPr="00A43E1A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A43E1A">
        <w:rPr>
          <w:rFonts w:ascii="PT Astra Serif" w:hAnsi="PT Astra Serif"/>
          <w:sz w:val="28"/>
          <w:szCs w:val="28"/>
        </w:rPr>
        <w:t>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разработка и утверждение критериев и требований к образовательным программам, направленных на повышение уровня финансовой грамотности и </w:t>
      </w:r>
      <w:r w:rsidRPr="00A43E1A">
        <w:rPr>
          <w:rFonts w:ascii="PT Astra Serif" w:hAnsi="PT Astra Serif"/>
          <w:sz w:val="28"/>
          <w:szCs w:val="28"/>
        </w:rPr>
        <w:lastRenderedPageBreak/>
        <w:t>финансовой культуры, проведение мониторинга качества реализуемых программ;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внедрение образовательных программ, учебных и методических материалов, обеспечивающих формирование финансовой культуры, в систему образования Российской Федерации на всех уровнях, их своевременная актуализация;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содействие разработке цифровых образовательных продуктов в области повышения финансовой грамотности и формирования финансовой культуры, в том числе в игровых форматах;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проведение школьных олимпиад по финансовой грамотности, в том числе тех, победителям и призерам которых предоставляются особые права при приеме на обучение в соответствии с законодательством Российской Федерации об образовании, проведение студенческих олимпиад по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подготовка и регулярное повышение квалификации педагогических работников дошкольных образовательных, общеобразовательных и профессиональных образовательных организаций, преподавателей образовательных организаций высшего образования;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выявление и продвижение лучших педагогических практик при преподавании финансовой грамотности посредством проведения конкурсов профессионального мастерства для педагогических работников, преподающих образовательные программы, содержащие элементы финансовой грамотности;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проведение оценки образовательных достижений учащихся общеобразовательных организаций по направлению финансовой грамотности и финансовой культуры;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развитие институциональной инфраструктуры и учебно-методических ресурсов образовательного сообщества;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обеспечение доступности обучения и самообучения в области повышения финансовой грамотности и формирования финансовой культуры;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анализ общественного мнения по вопросам финансовой грамотности и финансовой культуры, изучение потребностей общества в получении знаний в области финансовой грамотности и финансовой культуры и обеспечение своевременной реакции на соответствующие запросы;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адаптация образовательных программ с учетом распространенных когнитивных искажений, специфики социокультурных характеристик, в том числе в субъектах Российской Федерации.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3. Подготовка кадров в сфере финансовой грамотности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Целью подготовки кадров в сфере финансовой грамотности является развитие кадрового потенциала учителей, преподавателей, администраторов образовательных организаций, государственных служащих, сотрудников органов социальной защиты населения, финансовых организаций, некоммерческих организаций, граждан, вовлеченных в добровольческую (волонтерскую) деятельность в области финансового просвещения, способствующих распространению знаний в области повышения финансовой грамотности и формирования финансовой культуры.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задачи подготовки кадров в сфере финансовой грамотности входят: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создание и функционирование многоуровневой каскадной системы обучения и повышения квалификации для всех целевых групп, при которой специалисты, прошедшие обучение в федеральных методических центрах повышения финансовой грамотности населения, в дальнейшем осуществляют подготовку специалистов на региональном уровне, а те, в свою очередь, взаимодействуют с гражданами;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создание и поддержка эффективной инфраструктуры по поддержке деятельности квалифицированных специалистов разных уровней по распространению знаний в области повышения финансовой грамотности и формирования финансовой культуры;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подготовка специалистов в области финансового просвещения.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4. Взаимодействие с финансовыми организациями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 реализации мероприятий Стратегии необходимо привлечь широкий круг участников финансового рынка и саморегулируемые организации в сфере финансового рынка. Необходимо пропагандировать культуру добросовестного предоставления финансовыми организациями финансовых услуг потребителям, стимулировать их ответственное и этичное поведение в отношении клиентов, уделять внимание вопросам верификации распространяемой ими информации в сфере финансовой грамотности.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государства с финансовыми организациями при реализации мероприятий Стратегии должно быть основано на принципах стратегического партнерства, недопущения конфликта интересов, обеспечения повышения доверия граждан к финансовому рынку.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5. Взаимодействие с бизнесом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Взаимодействие с бизнесом в рамках реализации Стратегии включает следующие направления: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поддержка инициатив со стороны организаций (как финансового, так и нефинансового сектора) по разработке и реализации программ, направленных на повышение уровня финансовой грамотности и финансовой культуры собственных работников в рамках внутреннего корпоративного образования;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создание в организациях центров финансового просвещения, работающих на постоянной основе, продвижение финансовой грамотности и финансовой культуры сотрудников как части ESG-повестки компаний;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обучение представителей микро- и малого бизнеса, индивидуальных предпринимателей и плательщиков налога на профессиональный доход навыкам правильного отношения к финансам в рамках предпринимательской деятельности;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взаимодействие с объединениями, представляющими бизнес, и </w:t>
      </w:r>
      <w:proofErr w:type="gramStart"/>
      <w:r w:rsidRPr="00A43E1A">
        <w:rPr>
          <w:rFonts w:ascii="PT Astra Serif" w:hAnsi="PT Astra Serif"/>
          <w:sz w:val="28"/>
          <w:szCs w:val="28"/>
        </w:rPr>
        <w:t>бизнес-сообществами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по вопросам финансовой грамотности и финансовой культуры;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вовлечение бизнеса в добровольческую (волонтерскую) деятельность в области финансового просвещения.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Последующее развитие корпоративных программ долгосрочного накопления позволит максимально увеличить охват работающих граждан, у которых при участии работодателей будет формироваться дополнительный доход к будущей пенсии независимо от уровня финансового обеспечения.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6. Взаимодействие с гражданским обществом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и некоммерческими организациями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 реализации мероприятий Стратегии необходимо на постоянной основе привлекать широкий круг участников, включая образовательные и научные организации, общественные объединения потребителей, объединения работодателей, иные некоммерческие организации, экспертное сообщество и активных граждан.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Развитие взаимодействия с гражданским обществом в сфере повышения финансовой грамотности и формирования финансовой культуры должно сопровождаться формированием этических правил поведения участников такого взаимодействия.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Участники реализации Стратегии и некоммерческие организации поддерживают и способствуют развитию добровольчества (</w:t>
      </w:r>
      <w:proofErr w:type="spellStart"/>
      <w:r w:rsidRPr="00A43E1A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A43E1A">
        <w:rPr>
          <w:rFonts w:ascii="PT Astra Serif" w:hAnsi="PT Astra Serif"/>
          <w:sz w:val="28"/>
          <w:szCs w:val="28"/>
        </w:rPr>
        <w:t>) в сфере финансовой грамотности и финансовой культуры.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7. Развитие международного сотрудничества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Международное сотрудничество будет направлено на продвижение результатов и расширение обмена опытом в сфере повышения финансовой грамотности и формирования финансовой культуры с зарубежными странами, в том числе со странами - членами Содружества Независимых Государств, Евразийского экономического союза, БРИКС, Шанхайской организации сотрудничества, странами - членами Альянса за финансовую доступность и других объединений.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рамках реализации Стратегии будет продолжена работа по следующим направлениям: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участие в работе международных организаций и объединений для внесения предложений по улучшению действующих и разработке новых руководящих документов Евразийского экономического союза, форума "Группа двадцати", форума "Азиатско-тихоокеанское экономическое сотрудничество" и других документов;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участие в международных конференциях для обмена опытом и представления информации о ходе и результатах реализации Стратегии в Российской Федерации;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анализ лучших зарубежных практик по реализации национальных стратегий повышения финансовой грамотности и формирования финансовой культуры, в том числе в странах - членах Содружества Независимых Государств, и оценка возможностей их использования;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предоставление информации о российском опыте в области повышения финансовой грамотности и формирования финансовой культуры, обмен опытом с заинтересованными странами;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масштабирование возможностей трансграничных финансовых операций для граждан;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формирование эффективной системы защиты прав потребителей и инвесторов при трансграничном оказании финансовых услуг, в том числе путем расширения регуляторного и надзорного взаимодействия Центрального банка Российской Федерации с иностранными регуляторами финансового рынка в дружественных юрисдикциях.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8. Развитие практик </w:t>
      </w:r>
      <w:proofErr w:type="gramStart"/>
      <w:r w:rsidRPr="00A43E1A">
        <w:rPr>
          <w:rFonts w:ascii="PT Astra Serif" w:hAnsi="PT Astra Serif"/>
          <w:sz w:val="28"/>
          <w:szCs w:val="28"/>
        </w:rPr>
        <w:t>инициативного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бюджетирования, иных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практик, а также обеспечение открытости бюджетной информации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43E1A">
        <w:rPr>
          <w:rFonts w:ascii="PT Astra Serif" w:hAnsi="PT Astra Serif"/>
          <w:sz w:val="28"/>
          <w:szCs w:val="28"/>
        </w:rPr>
        <w:t xml:space="preserve">Федеральные органы исполнительной власти, исполнительные органы субъектов Российской Федерации и органы местного самоуправления поддерживают и способствуют развитию инструментов участия граждан в бюджетном процессе, практик инициативного бюджетирования и иных практик, а также в сфере своего ведения обеспечивают размещение </w:t>
      </w:r>
      <w:r w:rsidRPr="00A43E1A">
        <w:rPr>
          <w:rFonts w:ascii="PT Astra Serif" w:hAnsi="PT Astra Serif"/>
          <w:sz w:val="28"/>
          <w:szCs w:val="28"/>
        </w:rPr>
        <w:lastRenderedPageBreak/>
        <w:t>актуальной информации о бюджетной системе Российской Федерации в открытом и понятном формате для широкого круга лиц.</w:t>
      </w:r>
      <w:proofErr w:type="gramEnd"/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VI. Механизмы реализации, индикаторы (показатели),</w:t>
      </w: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мониторинг и риски реализации Стратегии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Участниками реализации Стратегии являются федеральные органы исполнительной власти, исполнительные органы субъектов Российской Федерации, органы местного самоуправления, Центральный банк Российской Федерации и другие организации.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Практическое достижение целей и задач Стратегии будет осуществляться в соответствии с планом мероприятий ("дорожной картой") по реализации Стратегии (далее - дорожная карта), утверждаемым Министерством финансов Российской Федерации совместно с Центральным банком Российской Федерации.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Для достижения целей и решения задач Стратегии, обеспечения координации действий участников Стратегии, а также реализации мероприятий дорожной карты создается межведомственная координационная комиссия (далее - комиссия).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Полномочия, компетенция и порядок работы комиссии определяются положением, утверждаемым Правительством Российской Федерации.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Министерство финансов Российской Федерации и Центральный банк Российской Федерации участвуют в управлении реализацией Стратегии на условиях системного партнерства и паритета.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Деятельность комиссии обеспечивается на принципах </w:t>
      </w:r>
      <w:proofErr w:type="spellStart"/>
      <w:r w:rsidRPr="00A43E1A">
        <w:rPr>
          <w:rFonts w:ascii="PT Astra Serif" w:hAnsi="PT Astra Serif"/>
          <w:sz w:val="28"/>
          <w:szCs w:val="28"/>
        </w:rPr>
        <w:t>сопредседательства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Министра финансов Российской Федерации (заместителя Министра финансов Российской Федерации) и Председателя Центрального банка Российской Федерации (заместителя Председателя Центрального банка Российской Федерации).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Состав комиссии утверждается совместным решением Министерства финансов Российской Федерации и Центрального банка Российской Федерации.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В состав комиссии входят представители федеральных органов исполнительной власти, исполнительных органов власти субъектов Российской Федерации, Центрального банка Российской Федерации, а также представители заинтересованных организаций.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Представители экспертного и научного сообщества оказывают аналитическую и консультационную поддержку комиссии.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Инструментом достижения целей Стратегии в субъектах Российской </w:t>
      </w:r>
      <w:r w:rsidRPr="00A43E1A">
        <w:rPr>
          <w:rFonts w:ascii="PT Astra Serif" w:hAnsi="PT Astra Serif"/>
          <w:sz w:val="28"/>
          <w:szCs w:val="28"/>
        </w:rPr>
        <w:lastRenderedPageBreak/>
        <w:t>Федерации являются государственные программы субъектов Российской Федерации (структурные элементы государственных программ субъектов Российской Федерации) и региональные программы, направленные на повышение финансовой грамотности и формирование финансовой культуры граждан.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Для оценки достижения целей реализации Стратегии и мероприятий дорожной карты предусмотрены индикаторы (показатели) реализации Стратегии, которые приведены в </w:t>
      </w:r>
      <w:hyperlink w:anchor="P310">
        <w:r w:rsidRPr="00A43E1A">
          <w:rPr>
            <w:rFonts w:ascii="PT Astra Serif" w:hAnsi="PT Astra Serif"/>
            <w:sz w:val="28"/>
            <w:szCs w:val="28"/>
          </w:rPr>
          <w:t>приложении</w:t>
        </w:r>
      </w:hyperlink>
      <w:r w:rsidRPr="00A43E1A">
        <w:rPr>
          <w:rFonts w:ascii="PT Astra Serif" w:hAnsi="PT Astra Serif"/>
          <w:sz w:val="28"/>
          <w:szCs w:val="28"/>
        </w:rPr>
        <w:t>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Порядок проведения мониторинга реализации Стратегии устанавливается комиссией.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Центральный банк Российской Федерации и Министерство финансов Российской Федерации совместно с участниками Стратегии осуществляют мониторинг динамики изменения </w:t>
      </w:r>
      <w:hyperlink w:anchor="P310">
        <w:r w:rsidRPr="00A43E1A">
          <w:rPr>
            <w:rFonts w:ascii="PT Astra Serif" w:hAnsi="PT Astra Serif"/>
            <w:sz w:val="28"/>
            <w:szCs w:val="28"/>
          </w:rPr>
          <w:t>индикаторов</w:t>
        </w:r>
      </w:hyperlink>
      <w:r w:rsidRPr="00A43E1A">
        <w:rPr>
          <w:rFonts w:ascii="PT Astra Serif" w:hAnsi="PT Astra Serif"/>
          <w:sz w:val="28"/>
          <w:szCs w:val="28"/>
        </w:rPr>
        <w:t xml:space="preserve"> (показателей) реализации Стратегии. При оценке уровня финансовой культуры необходимо учитывать региональную специфику и использовать единую методологию исследований с обеспечением </w:t>
      </w:r>
      <w:proofErr w:type="spellStart"/>
      <w:r w:rsidRPr="00A43E1A">
        <w:rPr>
          <w:rFonts w:ascii="PT Astra Serif" w:hAnsi="PT Astra Serif"/>
          <w:sz w:val="28"/>
          <w:szCs w:val="28"/>
        </w:rPr>
        <w:t>взаимоувязанности</w:t>
      </w:r>
      <w:proofErr w:type="spellEnd"/>
      <w:r w:rsidRPr="00A43E1A">
        <w:rPr>
          <w:rFonts w:ascii="PT Astra Serif" w:hAnsi="PT Astra Serif"/>
          <w:sz w:val="28"/>
          <w:szCs w:val="28"/>
        </w:rPr>
        <w:t xml:space="preserve"> с проведенными исследованиями.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Мониторинг реализации Стратегии осуществляется посредством комплексного анализа результатов мероприятий дорожной карты и достигнутых </w:t>
      </w:r>
      <w:hyperlink w:anchor="P310">
        <w:r w:rsidRPr="00A43E1A">
          <w:rPr>
            <w:rFonts w:ascii="PT Astra Serif" w:hAnsi="PT Astra Serif"/>
            <w:sz w:val="28"/>
            <w:szCs w:val="28"/>
          </w:rPr>
          <w:t>индикаторов</w:t>
        </w:r>
      </w:hyperlink>
      <w:r w:rsidRPr="00A43E1A">
        <w:rPr>
          <w:rFonts w:ascii="PT Astra Serif" w:hAnsi="PT Astra Serif"/>
          <w:sz w:val="28"/>
          <w:szCs w:val="28"/>
        </w:rPr>
        <w:t xml:space="preserve"> (показателей) реализации Стратегии.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Данные мониторинга реализации Стратегии являются основой для принятия управленческих решений по корректировке дорожной карты, а также по внесению в Правительство Российской Федерации предложений о корректировке Стратегии.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Комиссия обеспечивает представление в Правительство Российской Федерации ежегодного аналитического доклада о ходе реализации в соответствующем году Стратегии.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Участники реализации Стратегии представляют в Комиссию информацию о достигнутых в ходе реализации Стратегии результатах по форме и в сроки, которые утверждаются комиссией.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 основным рискам реализации Стратегии относятся: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риски, связанные с изменением макроэкономической ситуации;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риски, связанные с нормативной базой;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риски, связанные с развитием российского финансового рынка;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риски, связанные с опережающим технологическим развитием финансовых услуг;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риски, связанные с недостаточным ресурсным обеспечением реализации </w:t>
      </w:r>
      <w:r w:rsidRPr="00A43E1A">
        <w:rPr>
          <w:rFonts w:ascii="PT Astra Serif" w:hAnsi="PT Astra Serif"/>
          <w:sz w:val="28"/>
          <w:szCs w:val="28"/>
        </w:rPr>
        <w:lastRenderedPageBreak/>
        <w:t>мероприятий Стратегии;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риски, связанные с работой системы управления реализацией Стратегии.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Комиссия на постоянной основе отслеживает и оценивает уровень рисков реализации Стратегии и принимает необходимые меры по управлению рисками.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 Стратегии повышения финансовой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грамотности и формирования финансовой</w:t>
      </w:r>
    </w:p>
    <w:p w:rsidR="00A43E1A" w:rsidRPr="00A43E1A" w:rsidRDefault="00A43E1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культуры до 2030 года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10"/>
      <w:bookmarkEnd w:id="1"/>
      <w:r w:rsidRPr="00A43E1A">
        <w:rPr>
          <w:rFonts w:ascii="PT Astra Serif" w:hAnsi="PT Astra Serif"/>
          <w:sz w:val="28"/>
          <w:szCs w:val="28"/>
        </w:rPr>
        <w:t>ИНДИКАТОРЫ (ПОКАЗАТЕЛИ)</w:t>
      </w:r>
    </w:p>
    <w:p w:rsidR="00A43E1A" w:rsidRPr="00A43E1A" w:rsidRDefault="00A43E1A" w:rsidP="00A43E1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РЕАЛИЗАЦИИ СТРАТЕГИИ ПОВЫШЕНИЯ ФИНАНСОВОЙ ГРАМОТНОСТИ </w:t>
      </w:r>
      <w:bookmarkStart w:id="2" w:name="_GoBack"/>
      <w:bookmarkEnd w:id="2"/>
      <w:r w:rsidRPr="00A43E1A">
        <w:rPr>
          <w:rFonts w:ascii="PT Astra Serif" w:hAnsi="PT Astra Serif"/>
          <w:sz w:val="28"/>
          <w:szCs w:val="28"/>
        </w:rPr>
        <w:t>И ФОРМИРОВАНИЯ ФИНАНСОВОЙ КУЛЬТУРЫ ДО 2030 ГОДА</w:t>
      </w:r>
    </w:p>
    <w:p w:rsidR="00A43E1A" w:rsidRPr="00A43E1A" w:rsidRDefault="00A43E1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3E1A" w:rsidRPr="00A43E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1">
              <w:r w:rsidRPr="00A43E1A">
                <w:rPr>
                  <w:rFonts w:ascii="PT Astra Serif" w:hAnsi="PT Astra Serif"/>
                  <w:sz w:val="28"/>
                  <w:szCs w:val="28"/>
                </w:rPr>
                <w:t>распоряжения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 xml:space="preserve"> Правительства РФ от 15.10.2025 N 2868-р)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7"/>
        <w:gridCol w:w="2214"/>
        <w:gridCol w:w="2214"/>
      </w:tblGrid>
      <w:tr w:rsidR="00A43E1A" w:rsidRPr="00A43E1A">
        <w:tc>
          <w:tcPr>
            <w:tcW w:w="46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Наименование индикатора (показателя)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Базовое значение (2023 год)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Прогнозный диапазон (2030 год)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Индекс уровня финансовой грамотности населения Российской Федерации, опрос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54 балла </w:t>
            </w:r>
            <w:hyperlink w:anchor="P350">
              <w:r w:rsidRPr="00A43E1A">
                <w:rPr>
                  <w:rFonts w:ascii="PT Astra Serif" w:hAnsi="PT Astra Seri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56 - 62 балла </w:t>
            </w:r>
            <w:hyperlink w:anchor="P352">
              <w:r w:rsidRPr="00A43E1A">
                <w:rPr>
                  <w:rFonts w:ascii="PT Astra Serif" w:hAnsi="PT Astra Serif"/>
                  <w:sz w:val="28"/>
                  <w:szCs w:val="28"/>
                </w:rPr>
                <w:t>&lt;1-1&gt;</w:t>
              </w:r>
            </w:hyperlink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2">
              <w:r w:rsidRPr="00A43E1A">
                <w:rPr>
                  <w:rFonts w:ascii="PT Astra Serif" w:hAnsi="PT Astra Serif"/>
                  <w:sz w:val="28"/>
                  <w:szCs w:val="28"/>
                </w:rPr>
                <w:t>распоряжения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 xml:space="preserve"> Правительства РФ от 15.10.2025 N 2868-р)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Уровень внедрения финансовой грамотности в систему образования на уровне субъектов Российской Федерации, процентов: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38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60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отношение количества обучающихся общеобразовательных организаций и профессиональных образовательных организаций, охваченных образовательными программами по финансовой грамотности, к общему количеству обучающихся общеобразовательных организаций и профессиональных образовательных организаций </w:t>
            </w:r>
            <w:hyperlink w:anchor="P354">
              <w:r w:rsidRPr="00A43E1A">
                <w:rPr>
                  <w:rFonts w:ascii="PT Astra Serif" w:hAnsi="PT Astra Serif"/>
                  <w:sz w:val="28"/>
                  <w:szCs w:val="28"/>
                </w:rPr>
                <w:t>&lt;2&gt;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>, процентов;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67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100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отношение количества педагогических работников общеобразовательных организаций и профессиональных образовательных организаций, прошедших повышение квалификации и (или) </w:t>
            </w:r>
            <w:r w:rsidRPr="00A43E1A">
              <w:rPr>
                <w:rFonts w:ascii="PT Astra Serif" w:hAnsi="PT Astra Serif"/>
                <w:sz w:val="28"/>
                <w:szCs w:val="28"/>
              </w:rPr>
              <w:lastRenderedPageBreak/>
              <w:t>профессиональную переподготовку по образовательным программам, включающим элементы финансовой грамотности, к общему количеству педагогических работников общеобразовательных организаций и профессиональных образовательных организаций,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lastRenderedPageBreak/>
              <w:t>9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20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lastRenderedPageBreak/>
              <w:t>Уровень инфраструктурного развития субъектов Российской Федерации, способствующего повышению финансовой грамотности в субъектах Российской Федерации, процентов: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75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100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отношение количества субъектов Российской Федерации, имеющих региональный центр финансовой грамотности, к общему количеству субъектов Российской Федерации, процентов;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62 процента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100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отношение количества субъектов Российской Федерации, имеющих информационный ресурс, способствующий повышению финансовой грамотности, к общему количеству субъектов Российской Федерации, процентов;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73 процента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100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отношение количества субъектов Российской Федерации, реализующих практики инициативного бюджетирования, иные практики, к общему количеству субъектов Российской Федерации,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90 процентов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100 процентов</w:t>
            </w:r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>Индекс развития финансовой культуры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39,5 балла </w:t>
            </w:r>
            <w:hyperlink w:anchor="P355">
              <w:r w:rsidRPr="00A43E1A">
                <w:rPr>
                  <w:rFonts w:ascii="PT Astra Serif" w:hAnsi="PT Astra Seri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A43E1A" w:rsidRPr="00A43E1A" w:rsidRDefault="00A43E1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48 - 54 балла </w:t>
            </w:r>
            <w:hyperlink w:anchor="P357">
              <w:r w:rsidRPr="00A43E1A">
                <w:rPr>
                  <w:rFonts w:ascii="PT Astra Serif" w:hAnsi="PT Astra Serif"/>
                  <w:sz w:val="28"/>
                  <w:szCs w:val="28"/>
                </w:rPr>
                <w:t>&lt;4&gt;</w:t>
              </w:r>
            </w:hyperlink>
          </w:p>
        </w:tc>
      </w:tr>
      <w:tr w:rsidR="00A43E1A" w:rsidRPr="00A43E1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E1A" w:rsidRPr="00A43E1A" w:rsidRDefault="00A43E1A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43E1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3">
              <w:r w:rsidRPr="00A43E1A">
                <w:rPr>
                  <w:rFonts w:ascii="PT Astra Serif" w:hAnsi="PT Astra Serif"/>
                  <w:sz w:val="28"/>
                  <w:szCs w:val="28"/>
                </w:rPr>
                <w:t>распоряжения</w:t>
              </w:r>
            </w:hyperlink>
            <w:r w:rsidRPr="00A43E1A">
              <w:rPr>
                <w:rFonts w:ascii="PT Astra Serif" w:hAnsi="PT Astra Serif"/>
                <w:sz w:val="28"/>
                <w:szCs w:val="28"/>
              </w:rPr>
              <w:t xml:space="preserve"> Правительства РФ от 15.10.2025 N 2868-р)</w:t>
            </w:r>
          </w:p>
        </w:tc>
      </w:tr>
    </w:tbl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43E1A" w:rsidRPr="00A43E1A" w:rsidRDefault="00A43E1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>--------------------------------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350"/>
      <w:bookmarkEnd w:id="3"/>
      <w:r w:rsidRPr="00A43E1A">
        <w:rPr>
          <w:rFonts w:ascii="PT Astra Serif" w:hAnsi="PT Astra Serif"/>
          <w:sz w:val="28"/>
          <w:szCs w:val="28"/>
        </w:rPr>
        <w:t xml:space="preserve">&lt;1&gt; Определено с учетом результатов социологического исследования, </w:t>
      </w:r>
      <w:r w:rsidRPr="00A43E1A">
        <w:rPr>
          <w:rFonts w:ascii="PT Astra Serif" w:hAnsi="PT Astra Serif"/>
          <w:sz w:val="28"/>
          <w:szCs w:val="28"/>
        </w:rPr>
        <w:lastRenderedPageBreak/>
        <w:t>проведенного в 2022 году по заказу Банка России.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(сноска в ред. </w:t>
      </w:r>
      <w:hyperlink r:id="rId34">
        <w:r w:rsidRPr="00A43E1A">
          <w:rPr>
            <w:rFonts w:ascii="PT Astra Serif" w:hAnsi="PT Astra Serif"/>
            <w:sz w:val="28"/>
            <w:szCs w:val="28"/>
          </w:rPr>
          <w:t>распоряжения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352"/>
      <w:bookmarkEnd w:id="4"/>
      <w:r w:rsidRPr="00A43E1A">
        <w:rPr>
          <w:rFonts w:ascii="PT Astra Serif" w:hAnsi="PT Astra Serif"/>
          <w:sz w:val="28"/>
          <w:szCs w:val="28"/>
        </w:rPr>
        <w:t xml:space="preserve">&lt;1-1&gt; Может быть </w:t>
      </w:r>
      <w:proofErr w:type="gramStart"/>
      <w:r w:rsidRPr="00A43E1A">
        <w:rPr>
          <w:rFonts w:ascii="PT Astra Serif" w:hAnsi="PT Astra Serif"/>
          <w:sz w:val="28"/>
          <w:szCs w:val="28"/>
        </w:rPr>
        <w:t>уточнен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по итогам проведения социологического исследования по оценке уровня финансовой грамотности населения Российской Федерации, запланированного к проведению Банком России в последующие периоды.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(сноска введена </w:t>
      </w:r>
      <w:hyperlink r:id="rId35">
        <w:r w:rsidRPr="00A43E1A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354"/>
      <w:bookmarkEnd w:id="5"/>
      <w:r w:rsidRPr="00A43E1A">
        <w:rPr>
          <w:rFonts w:ascii="PT Astra Serif" w:hAnsi="PT Astra Serif"/>
          <w:sz w:val="28"/>
          <w:szCs w:val="28"/>
        </w:rPr>
        <w:t>&lt;2</w:t>
      </w:r>
      <w:proofErr w:type="gramStart"/>
      <w:r w:rsidRPr="00A43E1A">
        <w:rPr>
          <w:rFonts w:ascii="PT Astra Serif" w:hAnsi="PT Astra Serif"/>
          <w:sz w:val="28"/>
          <w:szCs w:val="28"/>
        </w:rPr>
        <w:t>&gt; Р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ассчитывается на основании данных, представленных по соответствующим </w:t>
      </w:r>
      <w:hyperlink r:id="rId36">
        <w:r w:rsidRPr="00A43E1A">
          <w:rPr>
            <w:rFonts w:ascii="PT Astra Serif" w:hAnsi="PT Astra Serif"/>
            <w:sz w:val="28"/>
            <w:szCs w:val="28"/>
          </w:rPr>
          <w:t>индикаторам</w:t>
        </w:r>
      </w:hyperlink>
      <w:r w:rsidRPr="00A43E1A">
        <w:rPr>
          <w:rFonts w:ascii="PT Astra Serif" w:hAnsi="PT Astra Serif"/>
          <w:sz w:val="28"/>
          <w:szCs w:val="28"/>
        </w:rPr>
        <w:t xml:space="preserve"> качества управления региональными финансами в субъектах Российской Федерации, включенным в приказ Минфина России от 3 декабря 2010 г. N 552 "О порядке осуществления мониторинга и оценки качества управления региональными финансами".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355"/>
      <w:bookmarkEnd w:id="6"/>
      <w:r w:rsidRPr="00A43E1A">
        <w:rPr>
          <w:rFonts w:ascii="PT Astra Serif" w:hAnsi="PT Astra Serif"/>
          <w:sz w:val="28"/>
          <w:szCs w:val="28"/>
        </w:rPr>
        <w:t>&lt;3&gt; Рассчитано на основании результатов проведенного в 2024 году социологического исследования, характеризующего ценности, установки и поведенческие практики граждан в сфере финансов, а также на основании полученных по итогам 2023 года статистических данных, отражающих фактическое поведение и активность граждан, в том числе на отдельных сегментах финансового рынка.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(сноска введена </w:t>
      </w:r>
      <w:hyperlink r:id="rId37">
        <w:r w:rsidRPr="00A43E1A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A43E1A" w:rsidRPr="00A43E1A" w:rsidRDefault="00A43E1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357"/>
      <w:bookmarkEnd w:id="7"/>
      <w:proofErr w:type="gramStart"/>
      <w:r w:rsidRPr="00A43E1A">
        <w:rPr>
          <w:rFonts w:ascii="PT Astra Serif" w:hAnsi="PT Astra Serif"/>
          <w:sz w:val="28"/>
          <w:szCs w:val="28"/>
        </w:rPr>
        <w:t>&lt;4&gt; Определен с учетом результатов проведенного в 2024 году социологического исследования, характеризующего ценности, установки и поведенческие практики граждан в сфере финансов, а также на основании полученных по итогам 2023 года статистических данных, отражающих фактическое поведение и активность граждан, в том числе на отдельных сегментах финансового рынка.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Может быть </w:t>
      </w:r>
      <w:proofErr w:type="gramStart"/>
      <w:r w:rsidRPr="00A43E1A">
        <w:rPr>
          <w:rFonts w:ascii="PT Astra Serif" w:hAnsi="PT Astra Serif"/>
          <w:sz w:val="28"/>
          <w:szCs w:val="28"/>
        </w:rPr>
        <w:t>уточнен</w:t>
      </w:r>
      <w:proofErr w:type="gramEnd"/>
      <w:r w:rsidRPr="00A43E1A">
        <w:rPr>
          <w:rFonts w:ascii="PT Astra Serif" w:hAnsi="PT Astra Serif"/>
          <w:sz w:val="28"/>
          <w:szCs w:val="28"/>
        </w:rPr>
        <w:t xml:space="preserve"> по итогам осуществления расчета индикатора (показателя), запланированного к проведению Минфином России и Банком России в последующие периоды.</w:t>
      </w:r>
    </w:p>
    <w:p w:rsidR="00A43E1A" w:rsidRPr="00A43E1A" w:rsidRDefault="00A43E1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43E1A">
        <w:rPr>
          <w:rFonts w:ascii="PT Astra Serif" w:hAnsi="PT Astra Serif"/>
          <w:sz w:val="28"/>
          <w:szCs w:val="28"/>
        </w:rPr>
        <w:t xml:space="preserve">(сноска введена </w:t>
      </w:r>
      <w:hyperlink r:id="rId38">
        <w:r w:rsidRPr="00A43E1A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A43E1A">
        <w:rPr>
          <w:rFonts w:ascii="PT Astra Serif" w:hAnsi="PT Astra Serif"/>
          <w:sz w:val="28"/>
          <w:szCs w:val="28"/>
        </w:rPr>
        <w:t xml:space="preserve"> Правительства РФ от 15.10.2025 N 2868-р)</w:t>
      </w:r>
    </w:p>
    <w:p w:rsidR="005A1A7E" w:rsidRPr="00A43E1A" w:rsidRDefault="00A43E1A">
      <w:pPr>
        <w:rPr>
          <w:rFonts w:ascii="PT Astra Serif" w:hAnsi="PT Astra Serif"/>
          <w:sz w:val="28"/>
          <w:szCs w:val="28"/>
        </w:rPr>
      </w:pPr>
    </w:p>
    <w:sectPr w:rsidR="005A1A7E" w:rsidRPr="00A43E1A" w:rsidSect="00ED3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1A"/>
    <w:rsid w:val="000C2229"/>
    <w:rsid w:val="00172250"/>
    <w:rsid w:val="00887F15"/>
    <w:rsid w:val="00A43E1A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43E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3E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3E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43E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3E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3E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78903&amp;dst=100011" TargetMode="External"/><Relationship Id="rId13" Type="http://schemas.openxmlformats.org/officeDocument/2006/relationships/hyperlink" Target="https://login.consultant.ru/link/?req=doc&amp;base=LAW&amp;n=502257&amp;dst=100022" TargetMode="External"/><Relationship Id="rId18" Type="http://schemas.openxmlformats.org/officeDocument/2006/relationships/hyperlink" Target="https://login.consultant.ru/link/?req=doc&amp;base=LAW&amp;n=495719" TargetMode="External"/><Relationship Id="rId26" Type="http://schemas.openxmlformats.org/officeDocument/2006/relationships/hyperlink" Target="https://login.consultant.ru/link/?req=doc&amp;base=LAW&amp;n=278903&amp;dst=100011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35331&amp;dst=100009" TargetMode="External"/><Relationship Id="rId34" Type="http://schemas.openxmlformats.org/officeDocument/2006/relationships/hyperlink" Target="https://login.consultant.ru/link/?req=doc&amp;base=LAW&amp;n=516685&amp;dst=100020" TargetMode="External"/><Relationship Id="rId7" Type="http://schemas.openxmlformats.org/officeDocument/2006/relationships/hyperlink" Target="https://login.consultant.ru/link/?req=doc&amp;base=LAW&amp;n=516685&amp;dst=100003" TargetMode="External"/><Relationship Id="rId12" Type="http://schemas.openxmlformats.org/officeDocument/2006/relationships/hyperlink" Target="https://login.consultant.ru/link/?req=doc&amp;base=LAW&amp;n=480785&amp;dst=1" TargetMode="External"/><Relationship Id="rId17" Type="http://schemas.openxmlformats.org/officeDocument/2006/relationships/hyperlink" Target="https://login.consultant.ru/link/?req=doc&amp;base=LAW&amp;n=180402&amp;dst=100009" TargetMode="External"/><Relationship Id="rId25" Type="http://schemas.openxmlformats.org/officeDocument/2006/relationships/hyperlink" Target="https://login.consultant.ru/link/?req=doc&amp;base=LAW&amp;n=278903&amp;dst=100011" TargetMode="External"/><Relationship Id="rId33" Type="http://schemas.openxmlformats.org/officeDocument/2006/relationships/hyperlink" Target="https://login.consultant.ru/link/?req=doc&amp;base=LAW&amp;n=516685&amp;dst=100016" TargetMode="External"/><Relationship Id="rId38" Type="http://schemas.openxmlformats.org/officeDocument/2006/relationships/hyperlink" Target="https://login.consultant.ru/link/?req=doc&amp;base=LAW&amp;n=516685&amp;dst=10002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0735&amp;dst=100019" TargetMode="External"/><Relationship Id="rId20" Type="http://schemas.openxmlformats.org/officeDocument/2006/relationships/hyperlink" Target="https://login.consultant.ru/link/?req=doc&amp;base=LAW&amp;n=420869&amp;dst=100009" TargetMode="External"/><Relationship Id="rId29" Type="http://schemas.openxmlformats.org/officeDocument/2006/relationships/hyperlink" Target="https://login.consultant.ru/link/?req=doc&amp;base=LAW&amp;n=278903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2655&amp;dst=100004" TargetMode="Externa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hyperlink" Target="https://login.consultant.ru/link/?req=doc&amp;base=LAW&amp;n=516685&amp;dst=100012" TargetMode="External"/><Relationship Id="rId32" Type="http://schemas.openxmlformats.org/officeDocument/2006/relationships/hyperlink" Target="https://login.consultant.ru/link/?req=doc&amp;base=LAW&amp;n=516685&amp;dst=100015" TargetMode="External"/><Relationship Id="rId37" Type="http://schemas.openxmlformats.org/officeDocument/2006/relationships/hyperlink" Target="https://login.consultant.ru/link/?req=doc&amp;base=LAW&amp;n=516685&amp;dst=100024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6685&amp;dst=100003" TargetMode="External"/><Relationship Id="rId15" Type="http://schemas.openxmlformats.org/officeDocument/2006/relationships/hyperlink" Target="https://login.consultant.ru/link/?req=doc&amp;base=LAW&amp;n=486043&amp;dst=20190" TargetMode="External"/><Relationship Id="rId23" Type="http://schemas.openxmlformats.org/officeDocument/2006/relationships/hyperlink" Target="https://login.consultant.ru/link/?req=doc&amp;base=LAW&amp;n=494681" TargetMode="External"/><Relationship Id="rId28" Type="http://schemas.openxmlformats.org/officeDocument/2006/relationships/hyperlink" Target="https://login.consultant.ru/link/?req=doc&amp;base=LAW&amp;n=278903&amp;dst=100011" TargetMode="External"/><Relationship Id="rId36" Type="http://schemas.openxmlformats.org/officeDocument/2006/relationships/hyperlink" Target="https://login.consultant.ru/link/?req=doc&amp;base=LAW&amp;n=512638&amp;dst=100165" TargetMode="External"/><Relationship Id="rId10" Type="http://schemas.openxmlformats.org/officeDocument/2006/relationships/hyperlink" Target="https://login.consultant.ru/link/?req=doc&amp;base=LAW&amp;n=516685&amp;dst=100008" TargetMode="External"/><Relationship Id="rId19" Type="http://schemas.openxmlformats.org/officeDocument/2006/relationships/hyperlink" Target="https://login.consultant.ru/link/?req=doc&amp;base=LAW&amp;n=516685&amp;dst=100010" TargetMode="External"/><Relationship Id="rId31" Type="http://schemas.openxmlformats.org/officeDocument/2006/relationships/hyperlink" Target="https://login.consultant.ru/link/?req=doc&amp;base=LAW&amp;n=516685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5991" TargetMode="External"/><Relationship Id="rId14" Type="http://schemas.openxmlformats.org/officeDocument/2006/relationships/hyperlink" Target="https://login.consultant.ru/link/?req=doc&amp;base=LAW&amp;n=516721&amp;dst=100093" TargetMode="External"/><Relationship Id="rId22" Type="http://schemas.openxmlformats.org/officeDocument/2006/relationships/hyperlink" Target="https://login.consultant.ru/link/?req=doc&amp;base=LAW&amp;n=465377&amp;dst=100176" TargetMode="External"/><Relationship Id="rId27" Type="http://schemas.openxmlformats.org/officeDocument/2006/relationships/hyperlink" Target="https://login.consultant.ru/link/?req=doc&amp;base=LAW&amp;n=278903&amp;dst=100011" TargetMode="External"/><Relationship Id="rId30" Type="http://schemas.openxmlformats.org/officeDocument/2006/relationships/hyperlink" Target="https://login.consultant.ru/link/?req=doc&amp;base=LAW&amp;n=465377&amp;dst=100010" TargetMode="External"/><Relationship Id="rId35" Type="http://schemas.openxmlformats.org/officeDocument/2006/relationships/hyperlink" Target="https://login.consultant.ru/link/?req=doc&amp;base=LAW&amp;n=516685&amp;dst=10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8830</Words>
  <Characters>50332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2025-11-05T07:34:00Z</dcterms:created>
  <dcterms:modified xsi:type="dcterms:W3CDTF">2025-11-05T07:36:00Z</dcterms:modified>
</cp:coreProperties>
</file>