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5"/>
        <w:ind w:firstLine="0"/>
        <w:jc w:val="center"/>
        <w:rPr>
          <w:b/>
          <w:color w:val="000000"/>
        </w:rPr>
      </w:pPr>
      <w:r>
        <w:rPr>
          <w:b/>
          <w:color w:val="000000"/>
        </w:rPr>
        <w:t xml:space="preserve">Об обязанности государственных и муниципальных служащих уведомлять об обращениях в целях склонения к совершению коррупционных правонарушений</w:t>
      </w:r>
      <w:r>
        <w:rPr>
          <w:b/>
          <w:color w:val="000000"/>
        </w:rPr>
      </w:r>
    </w:p>
    <w:p>
      <w:pPr>
        <w:pStyle w:val="705"/>
        <w:ind w:firstLine="709"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705"/>
        <w:ind w:firstLine="709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pStyle w:val="681"/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Федеральный закон от 25.12.2008 </w:t>
      </w:r>
      <w:r>
        <w:rPr>
          <w:b/>
          <w:color w:val="000000"/>
          <w:sz w:val="28"/>
          <w:szCs w:val="28"/>
        </w:rPr>
        <w:t xml:space="preserve">№</w:t>
      </w:r>
      <w:r>
        <w:rPr>
          <w:b/>
          <w:color w:val="000000"/>
          <w:sz w:val="28"/>
          <w:szCs w:val="28"/>
        </w:rPr>
        <w:t xml:space="preserve"> 273-ФЗ </w:t>
      </w:r>
      <w:r>
        <w:rPr>
          <w:b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«</w:t>
      </w:r>
      <w:r>
        <w:rPr>
          <w:b/>
          <w:color w:val="000000"/>
          <w:sz w:val="28"/>
          <w:szCs w:val="28"/>
        </w:rPr>
        <w:t xml:space="preserve">О противодействии коррупции</w:t>
      </w:r>
      <w:r>
        <w:rPr>
          <w:b/>
          <w:color w:val="000000"/>
          <w:sz w:val="28"/>
          <w:szCs w:val="28"/>
        </w:rPr>
        <w:t xml:space="preserve">»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</w:r>
      <w:r/>
    </w:p>
    <w:p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(в </w:t>
      </w:r>
      <w:r>
        <w:rPr>
          <w:b/>
          <w:color w:val="000000"/>
          <w:sz w:val="28"/>
          <w:szCs w:val="28"/>
        </w:rPr>
        <w:t xml:space="preserve">ред. Федерального закона от 10.07.2023 № 286-ФЗ) </w:t>
      </w:r>
      <w:r>
        <w:rPr>
          <w:b/>
          <w:color w:val="000000"/>
          <w:sz w:val="28"/>
          <w:szCs w:val="28"/>
        </w:rPr>
      </w:r>
      <w:r/>
    </w:p>
    <w:p>
      <w:pPr>
        <w:pStyle w:val="681"/>
        <w:ind w:firstLine="709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pStyle w:val="681"/>
        <w:ind w:firstLine="709"/>
        <w:jc w:val="both"/>
        <w:rPr>
          <w:bCs/>
          <w:color w:val="000000"/>
          <w:sz w:val="28"/>
          <w:szCs w:val="28"/>
        </w:rPr>
        <w:outlineLvl w:val="0"/>
      </w:pPr>
      <w:r>
        <w:rPr>
          <w:bCs/>
          <w:color w:val="000000"/>
          <w:sz w:val="28"/>
          <w:szCs w:val="28"/>
        </w:rPr>
        <w:t xml:space="preserve">Статья 9. Обязанность государственных и муниципальных служащих уведомлять об обращениях в целях склонения к совершению коррупционных правонарушений</w:t>
      </w:r>
      <w:r>
        <w:rPr>
          <w:bCs/>
          <w:color w:val="000000"/>
          <w:sz w:val="28"/>
          <w:szCs w:val="28"/>
        </w:rPr>
      </w:r>
    </w:p>
    <w:p>
      <w:pPr>
        <w:pStyle w:val="681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pStyle w:val="681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 Государственный или муниципальный служащий </w:t>
      </w:r>
      <w:r>
        <w:rPr>
          <w:b/>
          <w:bCs/>
          <w:color w:val="000000"/>
          <w:sz w:val="28"/>
          <w:szCs w:val="28"/>
        </w:rPr>
        <w:t xml:space="preserve">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</w:t>
      </w:r>
      <w:r>
        <w:rPr>
          <w:bCs/>
          <w:color w:val="000000"/>
          <w:sz w:val="28"/>
          <w:szCs w:val="28"/>
        </w:rPr>
        <w:t xml:space="preserve">.</w:t>
      </w:r>
      <w:r>
        <w:rPr>
          <w:bCs/>
          <w:color w:val="000000"/>
          <w:sz w:val="28"/>
          <w:szCs w:val="28"/>
        </w:rPr>
      </w:r>
    </w:p>
    <w:p>
      <w:pPr>
        <w:pStyle w:val="681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 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</w:t>
      </w:r>
      <w:r>
        <w:rPr>
          <w:b/>
          <w:bCs/>
          <w:color w:val="000000"/>
          <w:sz w:val="28"/>
          <w:szCs w:val="28"/>
        </w:rPr>
        <w:t xml:space="preserve">является должностной (служебной) обязанностью государственного или муниципального служащего</w:t>
      </w:r>
      <w:r>
        <w:rPr>
          <w:bCs/>
          <w:color w:val="000000"/>
          <w:sz w:val="28"/>
          <w:szCs w:val="28"/>
        </w:rPr>
        <w:t xml:space="preserve">.</w:t>
      </w:r>
      <w:r>
        <w:rPr>
          <w:bCs/>
          <w:color w:val="000000"/>
          <w:sz w:val="28"/>
          <w:szCs w:val="28"/>
        </w:rPr>
      </w:r>
    </w:p>
    <w:p>
      <w:pPr>
        <w:pStyle w:val="681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3. </w:t>
      </w:r>
      <w:r>
        <w:rPr>
          <w:b/>
          <w:bCs/>
          <w:color w:val="000000"/>
          <w:sz w:val="28"/>
          <w:szCs w:val="28"/>
        </w:rPr>
        <w:t xml:space="preserve">Невыполнение государственным или муниципальным служащим должностной (служебной) обязанности</w:t>
      </w:r>
      <w:r>
        <w:rPr>
          <w:bCs/>
          <w:color w:val="000000"/>
          <w:sz w:val="28"/>
          <w:szCs w:val="28"/>
        </w:rPr>
        <w:t xml:space="preserve">, предусмотренной </w:t>
      </w:r>
      <w:r>
        <w:rPr>
          <w:bCs/>
          <w:color w:val="000000"/>
          <w:sz w:val="28"/>
          <w:szCs w:val="28"/>
        </w:rPr>
        <w:fldChar w:fldCharType="begin"/>
      </w:r>
      <w:r>
        <w:rPr>
          <w:bCs/>
          <w:color w:val="000000"/>
          <w:sz w:val="28"/>
          <w:szCs w:val="28"/>
        </w:rPr>
        <w:instrText xml:space="preserve">HYPERLINK consultantplus://offline/ref=BA814B232BD55BC1C88D8B543D8A460B9C3104A21D9A1593E1A3E59BA361DF714A8F30FBDFA6A209J7mEF </w:instrText>
      </w:r>
      <w:r>
        <w:rPr>
          <w:bCs/>
          <w:color w:val="000000"/>
          <w:sz w:val="28"/>
          <w:szCs w:val="28"/>
        </w:rPr>
        <w:fldChar w:fldCharType="separate"/>
      </w:r>
      <w:r>
        <w:rPr>
          <w:bCs/>
          <w:color w:val="000000"/>
          <w:sz w:val="28"/>
          <w:szCs w:val="28"/>
        </w:rPr>
        <w:t xml:space="preserve">частью 1</w:t>
      </w:r>
      <w:r>
        <w:rPr>
          <w:bCs/>
          <w:color w:val="000000"/>
          <w:sz w:val="28"/>
          <w:szCs w:val="28"/>
        </w:rPr>
        <w:fldChar w:fldCharType="end"/>
      </w:r>
      <w:r>
        <w:rPr>
          <w:bCs/>
          <w:color w:val="000000"/>
          <w:sz w:val="28"/>
          <w:szCs w:val="28"/>
        </w:rPr>
        <w:t xml:space="preserve"> настоящей статьи, </w:t>
      </w:r>
      <w:r>
        <w:rPr>
          <w:b/>
          <w:bCs/>
          <w:color w:val="000000"/>
          <w:sz w:val="28"/>
          <w:szCs w:val="28"/>
        </w:rPr>
        <w:t xml:space="preserve">является правонарушением, влекущим его увольнение с государственной или муниципальной службы либо привлечение его к иным видам ответственности</w:t>
      </w:r>
      <w:r>
        <w:rPr>
          <w:bCs/>
          <w:color w:val="000000"/>
          <w:sz w:val="28"/>
          <w:szCs w:val="28"/>
        </w:rPr>
        <w:t xml:space="preserve"> в соответствии с законодательством Российской Федерации.</w:t>
      </w:r>
      <w:r>
        <w:rPr>
          <w:bCs/>
          <w:color w:val="000000"/>
          <w:sz w:val="28"/>
          <w:szCs w:val="28"/>
        </w:rPr>
      </w:r>
    </w:p>
    <w:p>
      <w:pPr>
        <w:pStyle w:val="681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4. </w:t>
      </w:r>
      <w:r>
        <w:rPr>
          <w:bCs/>
          <w:color w:val="000000"/>
          <w:sz w:val="28"/>
          <w:szCs w:val="28"/>
        </w:rPr>
        <w:t xml:space="preserve">Государственный или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</w:t>
      </w:r>
      <w:r>
        <w:rPr>
          <w:bCs/>
          <w:color w:val="000000"/>
          <w:sz w:val="28"/>
          <w:szCs w:val="28"/>
        </w:rPr>
        <w:t xml:space="preserve">угими государственными или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</w:t>
      </w:r>
      <w:r>
        <w:rPr>
          <w:bCs/>
          <w:color w:val="000000"/>
          <w:sz w:val="28"/>
          <w:szCs w:val="28"/>
        </w:rPr>
        <w:t xml:space="preserve">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pStyle w:val="681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5. </w:t>
      </w:r>
      <w:r>
        <w:rPr>
          <w:b/>
          <w:bCs/>
          <w:color w:val="000000"/>
          <w:sz w:val="28"/>
          <w:szCs w:val="28"/>
        </w:rPr>
        <w:t xml:space="preserve">Порядок уведомления</w:t>
      </w:r>
      <w:r>
        <w:rPr>
          <w:bCs/>
          <w:color w:val="000000"/>
          <w:sz w:val="28"/>
          <w:szCs w:val="28"/>
        </w:rPr>
        <w:t xml:space="preserve">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правонарушений, </w:t>
      </w:r>
      <w:r>
        <w:rPr>
          <w:b/>
          <w:bCs/>
          <w:color w:val="000000"/>
          <w:sz w:val="28"/>
          <w:szCs w:val="28"/>
        </w:rPr>
        <w:t xml:space="preserve">перечень сведений, содержащихся в уведомлениях, организация проверки этих сведений и порядок регистрации уведомлений определяются представителем нанимателя (работодателем).</w:t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681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681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highlight w:val="none"/>
        </w:rPr>
      </w:r>
      <w:r>
        <w:rPr>
          <w:b/>
          <w:bCs/>
          <w:color w:val="000000"/>
          <w:sz w:val="28"/>
          <w:szCs w:val="28"/>
          <w:highlight w:val="none"/>
        </w:rPr>
      </w:r>
    </w:p>
    <w:p>
      <w:pPr>
        <w:pStyle w:val="681"/>
        <w:ind w:firstLine="709"/>
        <w:jc w:val="both"/>
        <w:rPr>
          <w:b/>
          <w:bCs/>
          <w:color w:val="000000"/>
          <w:sz w:val="28"/>
          <w:szCs w:val="28"/>
          <w:highlight w:val="none"/>
        </w:rPr>
      </w:pPr>
      <w:r>
        <w:rPr>
          <w:b/>
          <w:bCs/>
          <w:color w:val="000000"/>
          <w:sz w:val="28"/>
          <w:szCs w:val="28"/>
        </w:rPr>
        <w:t xml:space="preserve">СПРАВКА:</w:t>
      </w:r>
      <w:r>
        <w:rPr>
          <w:b/>
          <w:bCs/>
          <w:color w:val="000000"/>
          <w:sz w:val="28"/>
          <w:szCs w:val="28"/>
          <w:highlight w:val="none"/>
        </w:rPr>
      </w:r>
    </w:p>
    <w:p>
      <w:pPr>
        <w:pStyle w:val="68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Положением о порядке уведомления министра финансов Саратовской области о фактах обращения в целях склонения государственного гражданского служащего министерства финансов Саратовской обла</w:t>
      </w:r>
      <w:r>
        <w:rPr>
          <w:sz w:val="28"/>
          <w:szCs w:val="28"/>
        </w:rPr>
        <w:t xml:space="preserve">сти к совершению коррупционных правонарушений, </w:t>
      </w:r>
      <w:r>
        <w:rPr>
          <w:sz w:val="28"/>
          <w:szCs w:val="28"/>
        </w:rPr>
        <w:t xml:space="preserve">регистрации уведомлений</w:t>
      </w:r>
      <w:r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 проверки этих сведений, утвержденным приказом министерства финансов Саратовской области от </w:t>
      </w:r>
      <w:r>
        <w:rPr>
          <w:sz w:val="28"/>
          <w:szCs w:val="28"/>
        </w:rPr>
        <w:t xml:space="preserve">24 августа 2021</w:t>
      </w:r>
      <w:r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295, государственные гражданские служащие Саратовской области, замещающие д</w:t>
      </w:r>
      <w:r>
        <w:rPr>
          <w:sz w:val="28"/>
          <w:szCs w:val="28"/>
        </w:rPr>
        <w:t xml:space="preserve">олжности, назначение и освобождение на которые осуществляет министр финансов Саратовской области, представляют уведомление в правовой отдел управления государственного долга, информационного и правового обеспечения министерства финансов Саратовской области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лицу, ответственному в Министерстве за работу по профилактике коррупционных и иных правонарушений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8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уведомлении указываются:</w:t>
      </w:r>
      <w:r>
        <w:rPr>
          <w:sz w:val="28"/>
          <w:szCs w:val="28"/>
        </w:rPr>
      </w:r>
    </w:p>
    <w:p>
      <w:pPr>
        <w:pStyle w:val="68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фамилию, имя, отчество, должность, место жительства и телефон гражданского служащего, направившего уведомление (далее – составитель уведомления);</w:t>
      </w:r>
      <w:r>
        <w:rPr>
          <w:sz w:val="28"/>
          <w:szCs w:val="28"/>
        </w:rPr>
      </w:r>
    </w:p>
    <w:p>
      <w:pPr>
        <w:pStyle w:val="68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опис</w:t>
      </w:r>
      <w:r>
        <w:rPr>
          <w:sz w:val="28"/>
          <w:szCs w:val="28"/>
        </w:rPr>
        <w:t xml:space="preserve">ание обстоятельств, при которых стало известно о случаях обращения к гражданскому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  <w:r>
        <w:rPr>
          <w:sz w:val="28"/>
          <w:szCs w:val="28"/>
        </w:rPr>
      </w:r>
    </w:p>
    <w:p>
      <w:pPr>
        <w:pStyle w:val="68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подробные сведения о коррупционных правонарушениях, которые должен был бы совершить гражданский служащий по просьбе обратившихся лиц;</w:t>
      </w:r>
      <w:r>
        <w:rPr>
          <w:sz w:val="28"/>
          <w:szCs w:val="28"/>
        </w:rPr>
      </w:r>
    </w:p>
    <w:p>
      <w:pPr>
        <w:pStyle w:val="68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известные сведения о лице, склоняющем к коррупционному правонарушению;</w:t>
      </w:r>
      <w:r>
        <w:rPr>
          <w:sz w:val="28"/>
          <w:szCs w:val="28"/>
        </w:rPr>
      </w:r>
    </w:p>
    <w:p>
      <w:pPr>
        <w:pStyle w:val="68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</w:t>
      </w:r>
      <w:r>
        <w:rPr>
          <w:sz w:val="28"/>
          <w:szCs w:val="28"/>
        </w:rPr>
      </w:r>
    </w:p>
    <w:p>
      <w:pPr>
        <w:pStyle w:val="68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уведомлению прилагаются все имеющиеся материалы, подтверждающие обстоятельства обращения каких-либо лиц в целях склонения гражданского служащего к совершению коррупционных правонарушений.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8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Уведомление осуществляется письменно по форме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размещенной на сайте министерства финансов Саратовской области по адресу: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</w:instrText>
      </w:r>
      <w:r>
        <w:rPr>
          <w:sz w:val="28"/>
          <w:szCs w:val="28"/>
        </w:rPr>
        <w:instrText xml:space="preserve">https://saratov.gov.ru/gov/auth/minfin/AntiCorr/docs/</w:instrText>
      </w:r>
      <w:r>
        <w:rPr>
          <w:sz w:val="28"/>
          <w:szCs w:val="28"/>
        </w:rPr>
        <w:instrText xml:space="preserve">" </w:instrText>
      </w:r>
      <w:r>
        <w:rPr>
          <w:sz w:val="28"/>
          <w:szCs w:val="28"/>
        </w:rPr>
        <w:fldChar w:fldCharType="separate"/>
      </w:r>
      <w:r>
        <w:rPr>
          <w:rStyle w:val="696"/>
          <w:sz w:val="28"/>
          <w:szCs w:val="28"/>
        </w:rPr>
      </w:r>
      <w:r>
        <w:rPr>
          <w:rStyle w:val="696"/>
          <w:sz w:val="28"/>
          <w:szCs w:val="28"/>
        </w:rPr>
      </w:r>
      <w:hyperlink r:id="rId11" w:tooltip="https://minfin.saratov.gov.ru/ministerstvo/protivodejstvie-korruptsii/dokumenty" w:history="1">
        <w:r>
          <w:rPr>
            <w:rStyle w:val="696"/>
            <w:sz w:val="28"/>
            <w:szCs w:val="28"/>
          </w:rPr>
          <w:t xml:space="preserve">https://minfin.saratov.gov.ru/ministerstvo/protivodejstvie-korruptsii/dokumenty</w:t>
        </w:r>
        <w:r>
          <w:rPr>
            <w:rStyle w:val="696"/>
            <w:sz w:val="28"/>
            <w:szCs w:val="28"/>
          </w:rPr>
        </w:r>
      </w:hyperlink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8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Ответственное</w:t>
      </w:r>
      <w:r>
        <w:rPr>
          <w:sz w:val="28"/>
          <w:szCs w:val="28"/>
        </w:rPr>
        <w:t xml:space="preserve"> лицо, принявшее уведомление, помимо его регистрации обязано </w:t>
      </w:r>
      <w:r>
        <w:rPr>
          <w:b/>
          <w:sz w:val="28"/>
          <w:szCs w:val="28"/>
        </w:rPr>
        <w:t xml:space="preserve">выдать составителю уведомления под роспись талон-уведомление</w:t>
      </w:r>
      <w:r>
        <w:rPr>
          <w:sz w:val="28"/>
          <w:szCs w:val="28"/>
        </w:rPr>
        <w:t xml:space="preserve"> с указанием данных о лице, принявшем уведомление, дате и времени его принятия.</w:t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134" w:right="851" w:bottom="1134" w:left="1418" w:header="567" w:footer="567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4090202050204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3"/>
      <w:rPr>
        <w:rStyle w:val="710"/>
      </w:rPr>
      <w:framePr w:wrap="around" w:vAnchor="text" w:hAnchor="margin" w:xAlign="center" w:y="1"/>
    </w:pPr>
    <w:r>
      <w:rPr>
        <w:rStyle w:val="710"/>
      </w:rPr>
      <w:fldChar w:fldCharType="begin"/>
    </w:r>
    <w:r>
      <w:rPr>
        <w:rStyle w:val="710"/>
      </w:rPr>
      <w:instrText xml:space="preserve">PAGE  </w:instrText>
    </w:r>
    <w:r>
      <w:rPr>
        <w:rStyle w:val="710"/>
      </w:rPr>
      <w:fldChar w:fldCharType="end"/>
    </w:r>
    <w:r>
      <w:rPr>
        <w:rStyle w:val="710"/>
      </w:rPr>
    </w:r>
    <w:r>
      <w:rPr>
        <w:rStyle w:val="710"/>
      </w:rPr>
    </w:r>
  </w:p>
  <w:p>
    <w:pPr>
      <w:pStyle w:val="70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"/>
      <w:lvlJc w:val="left"/>
      <w:pPr/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nothing"/>
      <w:lvlText w:val=""/>
      <w:lvlJc w:val="left"/>
      <w:pPr/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nothing"/>
      <w:lvlText w:val=""/>
      <w:lvlJc w:val="left"/>
      <w:pPr/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8">
    <w:multiLevelType w:val="hybridMultilevel"/>
    <w:lvl w:ilvl="0">
      <w:start w:val="1"/>
      <w:numFmt w:val="decimal"/>
      <w:isLgl w:val="false"/>
      <w:suff w:val="nothing"/>
      <w:lvlText w:val=""/>
      <w:lvlJc w:val="left"/>
      <w:pPr/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4">
    <w:multiLevelType w:val="hybridMultilevel"/>
    <w:lvl w:ilvl="0">
      <w:start w:val="1"/>
      <w:numFmt w:val="decimal"/>
      <w:isLgl w:val="false"/>
      <w:suff w:val="nothing"/>
      <w:lvlText w:val=""/>
      <w:lvlJc w:val="left"/>
      <w:pPr/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5">
    <w:multiLevelType w:val="hybridMultilevel"/>
    <w:lvl w:ilvl="0">
      <w:start w:val="1"/>
      <w:numFmt w:val="decimal"/>
      <w:isLgl w:val="false"/>
      <w:suff w:val="nothing"/>
      <w:lvlText w:val=""/>
      <w:lvlJc w:val="left"/>
      <w:pPr/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num w:numId="1">
    <w:abstractNumId w:val="5"/>
  </w:num>
  <w:num w:numId="2">
    <w:abstractNumId w:val="0"/>
  </w:num>
  <w:num w:numId="3">
    <w:abstractNumId w:val="15"/>
  </w:num>
  <w:num w:numId="4">
    <w:abstractNumId w:val="8"/>
  </w:num>
  <w:num w:numId="5">
    <w:abstractNumId w:val="14"/>
  </w:num>
  <w:num w:numId="6">
    <w:abstractNumId w:val="1"/>
  </w:num>
  <w:num w:numId="7">
    <w:abstractNumId w:val="16"/>
  </w:num>
  <w:num w:numId="8">
    <w:abstractNumId w:val="4"/>
  </w:num>
  <w:num w:numId="9">
    <w:abstractNumId w:val="9"/>
  </w:num>
  <w:num w:numId="10">
    <w:abstractNumId w:val="11"/>
  </w:num>
  <w:num w:numId="11">
    <w:abstractNumId w:val="6"/>
  </w:num>
  <w:num w:numId="12">
    <w:abstractNumId w:val="2"/>
  </w:num>
  <w:num w:numId="13">
    <w:abstractNumId w:val="3"/>
  </w:num>
  <w:num w:numId="14">
    <w:abstractNumId w:val="7"/>
  </w:num>
  <w:num w:numId="15">
    <w:abstractNumId w:val="10"/>
  </w:num>
  <w:num w:numId="16">
    <w:abstractNumId w:val="1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81"/>
    <w:next w:val="68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81"/>
    <w:next w:val="68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81"/>
    <w:next w:val="68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1"/>
    <w:next w:val="68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1"/>
    <w:next w:val="68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1"/>
    <w:next w:val="68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1"/>
    <w:next w:val="68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1"/>
    <w:next w:val="68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1"/>
    <w:next w:val="68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81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81"/>
    <w:next w:val="68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81"/>
    <w:next w:val="68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81"/>
    <w:next w:val="68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1"/>
    <w:next w:val="68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8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8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81"/>
    <w:next w:val="68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8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8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81"/>
    <w:next w:val="68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1"/>
    <w:next w:val="68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1"/>
    <w:next w:val="68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1"/>
    <w:next w:val="68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1"/>
    <w:next w:val="68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1"/>
    <w:next w:val="68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1"/>
    <w:next w:val="68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1"/>
    <w:next w:val="68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1"/>
    <w:next w:val="68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1"/>
    <w:next w:val="681"/>
    <w:uiPriority w:val="99"/>
    <w:unhideWhenUsed/>
    <w:pPr>
      <w:spacing w:after="0" w:afterAutospacing="0"/>
    </w:pPr>
  </w:style>
  <w:style w:type="paragraph" w:styleId="681" w:default="1">
    <w:name w:val="Normal"/>
    <w:next w:val="681"/>
    <w:link w:val="681"/>
    <w:qFormat/>
    <w:rPr>
      <w:sz w:val="24"/>
      <w:szCs w:val="24"/>
      <w:lang w:val="ru-RU" w:eastAsia="ru-RU" w:bidi="ar-SA"/>
    </w:rPr>
  </w:style>
  <w:style w:type="paragraph" w:styleId="682">
    <w:name w:val="Заголовок 1"/>
    <w:basedOn w:val="681"/>
    <w:next w:val="682"/>
    <w:link w:val="681"/>
    <w:qFormat/>
    <w:pPr>
      <w:spacing w:before="72"/>
      <w:outlineLvl w:val="0"/>
    </w:pPr>
    <w:rPr>
      <w:rFonts w:ascii="Arial" w:hAnsi="Arial" w:cs="Arial"/>
      <w:b/>
      <w:bCs/>
      <w:sz w:val="32"/>
      <w:szCs w:val="32"/>
    </w:rPr>
  </w:style>
  <w:style w:type="paragraph" w:styleId="683">
    <w:name w:val="Заголовок 2"/>
    <w:basedOn w:val="681"/>
    <w:next w:val="681"/>
    <w:link w:val="681"/>
    <w:qFormat/>
    <w:pPr>
      <w:jc w:val="center"/>
      <w:keepNext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84">
    <w:name w:val="Заголовок 3"/>
    <w:basedOn w:val="681"/>
    <w:next w:val="681"/>
    <w:link w:val="68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85">
    <w:name w:val="Заголовок 4"/>
    <w:basedOn w:val="681"/>
    <w:next w:val="681"/>
    <w:link w:val="681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686">
    <w:name w:val="Заголовок 5"/>
    <w:basedOn w:val="681"/>
    <w:next w:val="681"/>
    <w:link w:val="681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87">
    <w:name w:val="Заголовок 6"/>
    <w:basedOn w:val="681"/>
    <w:next w:val="681"/>
    <w:link w:val="681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styleId="688">
    <w:name w:val="Основной шрифт абзаца"/>
    <w:next w:val="688"/>
    <w:link w:val="681"/>
    <w:semiHidden/>
  </w:style>
  <w:style w:type="table" w:styleId="689">
    <w:name w:val="Обычная таблица"/>
    <w:next w:val="689"/>
    <w:link w:val="681"/>
    <w:semiHidden/>
    <w:tblPr/>
  </w:style>
  <w:style w:type="numbering" w:styleId="690">
    <w:name w:val="Нет списка"/>
    <w:next w:val="690"/>
    <w:link w:val="681"/>
    <w:semiHidden/>
  </w:style>
  <w:style w:type="paragraph" w:styleId="691">
    <w:name w:val="Основной текст с отступом"/>
    <w:basedOn w:val="681"/>
    <w:next w:val="691"/>
    <w:link w:val="681"/>
    <w:pPr>
      <w:ind w:firstLine="720"/>
      <w:jc w:val="both"/>
    </w:pPr>
    <w:rPr>
      <w:sz w:val="28"/>
    </w:rPr>
  </w:style>
  <w:style w:type="paragraph" w:styleId="692">
    <w:name w:val="ConsPlusNormal"/>
    <w:next w:val="692"/>
    <w:link w:val="681"/>
    <w:pPr>
      <w:ind w:firstLine="720"/>
    </w:pPr>
    <w:rPr>
      <w:rFonts w:ascii="Arial" w:hAnsi="Arial" w:cs="Arial"/>
      <w:lang w:val="ru-RU" w:eastAsia="ru-RU" w:bidi="ar-SA"/>
    </w:rPr>
  </w:style>
  <w:style w:type="paragraph" w:styleId="693">
    <w:name w:val="Обычный (веб)"/>
    <w:basedOn w:val="681"/>
    <w:next w:val="693"/>
    <w:link w:val="681"/>
    <w:pPr>
      <w:spacing w:after="240"/>
    </w:pPr>
    <w:rPr>
      <w:rFonts w:ascii="Arial Unicode MS" w:hAnsi="Arial Unicode MS" w:eastAsia="Arial Unicode MS" w:cs="Arial Unicode MS"/>
    </w:rPr>
  </w:style>
  <w:style w:type="paragraph" w:styleId="694">
    <w:name w:val="first"/>
    <w:basedOn w:val="681"/>
    <w:next w:val="694"/>
    <w:link w:val="681"/>
    <w:pPr>
      <w:ind w:left="300" w:right="1050"/>
      <w:jc w:val="both"/>
      <w:spacing w:before="150" w:after="225"/>
    </w:pPr>
    <w:rPr>
      <w:rFonts w:ascii="Arial Unicode MS" w:hAnsi="Arial Unicode MS" w:eastAsia="Arial Unicode MS" w:cs="Arial Unicode MS"/>
      <w:color w:val="5a5a5a"/>
    </w:rPr>
  </w:style>
  <w:style w:type="paragraph" w:styleId="695">
    <w:name w:val="cite"/>
    <w:basedOn w:val="681"/>
    <w:next w:val="695"/>
    <w:link w:val="681"/>
    <w:rPr>
      <w:rFonts w:ascii="Arial Unicode MS" w:hAnsi="Arial Unicode MS" w:eastAsia="Arial Unicode MS" w:cs="Arial Unicode MS"/>
      <w:i/>
      <w:iCs/>
      <w:sz w:val="22"/>
      <w:szCs w:val="22"/>
    </w:rPr>
  </w:style>
  <w:style w:type="character" w:styleId="696">
    <w:name w:val="Гиперссылка"/>
    <w:next w:val="696"/>
    <w:link w:val="681"/>
    <w:rPr>
      <w:color w:val="0000ff"/>
      <w:u w:val="single"/>
    </w:rPr>
  </w:style>
  <w:style w:type="paragraph" w:styleId="697">
    <w:name w:val="lleft"/>
    <w:basedOn w:val="681"/>
    <w:next w:val="697"/>
    <w:link w:val="681"/>
    <w:pPr>
      <w:spacing w:before="100" w:beforeAutospacing="1" w:after="100" w:afterAutospacing="1"/>
    </w:pPr>
    <w:rPr>
      <w:rFonts w:ascii="Arial Unicode MS" w:hAnsi="Arial Unicode MS" w:eastAsia="Arial Unicode MS" w:cs="Arial Unicode MS"/>
      <w:sz w:val="16"/>
      <w:szCs w:val="16"/>
    </w:rPr>
  </w:style>
  <w:style w:type="character" w:styleId="698">
    <w:name w:val="Просмотренная гиперссылка"/>
    <w:next w:val="698"/>
    <w:link w:val="681"/>
    <w:rPr>
      <w:color w:val="800080"/>
      <w:u w:val="single"/>
    </w:rPr>
  </w:style>
  <w:style w:type="paragraph" w:styleId="699">
    <w:name w:val="menubottom"/>
    <w:basedOn w:val="681"/>
    <w:next w:val="699"/>
    <w:link w:val="681"/>
    <w:pPr>
      <w:spacing w:before="100" w:beforeAutospacing="1" w:after="100" w:afterAutospacing="1"/>
    </w:pPr>
    <w:rPr>
      <w:rFonts w:ascii="Arial Unicode MS" w:hAnsi="Arial Unicode MS" w:eastAsia="Arial Unicode MS" w:cs="Arial Unicode MS"/>
      <w:sz w:val="16"/>
      <w:szCs w:val="16"/>
    </w:rPr>
  </w:style>
  <w:style w:type="paragraph" w:styleId="700">
    <w:name w:val="Основной текст"/>
    <w:basedOn w:val="681"/>
    <w:next w:val="700"/>
    <w:link w:val="681"/>
    <w:rPr>
      <w:color w:val="252525"/>
      <w:szCs w:val="16"/>
    </w:rPr>
  </w:style>
  <w:style w:type="character" w:styleId="701">
    <w:name w:val="Строгий"/>
    <w:next w:val="701"/>
    <w:link w:val="681"/>
    <w:qFormat/>
    <w:rPr>
      <w:b/>
      <w:bCs/>
    </w:rPr>
  </w:style>
  <w:style w:type="paragraph" w:styleId="702">
    <w:name w:val="Название"/>
    <w:basedOn w:val="681"/>
    <w:next w:val="702"/>
    <w:link w:val="681"/>
    <w:qFormat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703">
    <w:name w:val="Верхний колонтитул"/>
    <w:basedOn w:val="681"/>
    <w:next w:val="703"/>
    <w:link w:val="713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table" w:styleId="704">
    <w:name w:val="Тема таблицы"/>
    <w:basedOn w:val="689"/>
    <w:next w:val="704"/>
    <w:link w:val="681"/>
    <w:tblPr/>
  </w:style>
  <w:style w:type="paragraph" w:styleId="705">
    <w:name w:val="ФИРМЕННЫЙ"/>
    <w:basedOn w:val="681"/>
    <w:next w:val="705"/>
    <w:link w:val="681"/>
    <w:pPr>
      <w:ind w:firstLine="720"/>
      <w:jc w:val="both"/>
    </w:pPr>
    <w:rPr>
      <w:sz w:val="28"/>
    </w:rPr>
  </w:style>
  <w:style w:type="paragraph" w:styleId="706">
    <w:name w:val="ConsPlusNonformat"/>
    <w:next w:val="706"/>
    <w:link w:val="681"/>
    <w:rPr>
      <w:rFonts w:ascii="Courier New" w:hAnsi="Courier New" w:cs="Courier New"/>
      <w:lang w:val="ru-RU" w:eastAsia="ru-RU" w:bidi="ar-SA"/>
    </w:rPr>
  </w:style>
  <w:style w:type="paragraph" w:styleId="707">
    <w:name w:val="Текст сноски"/>
    <w:basedOn w:val="681"/>
    <w:next w:val="707"/>
    <w:link w:val="681"/>
    <w:semiHidden/>
    <w:rPr>
      <w:sz w:val="20"/>
      <w:szCs w:val="20"/>
    </w:rPr>
  </w:style>
  <w:style w:type="character" w:styleId="708">
    <w:name w:val="Знак сноски"/>
    <w:next w:val="708"/>
    <w:link w:val="681"/>
    <w:semiHidden/>
    <w:rPr>
      <w:vertAlign w:val="superscript"/>
    </w:rPr>
  </w:style>
  <w:style w:type="paragraph" w:styleId="709">
    <w:name w:val="brxml"/>
    <w:basedOn w:val="681"/>
    <w:next w:val="709"/>
    <w:link w:val="681"/>
    <w:pPr>
      <w:spacing w:before="100" w:beforeAutospacing="1" w:after="100" w:afterAutospacing="1"/>
    </w:pPr>
  </w:style>
  <w:style w:type="character" w:styleId="710">
    <w:name w:val="Номер страницы"/>
    <w:basedOn w:val="688"/>
    <w:next w:val="710"/>
    <w:link w:val="681"/>
  </w:style>
  <w:style w:type="paragraph" w:styleId="711">
    <w:name w:val="Нижний колонтитул"/>
    <w:basedOn w:val="681"/>
    <w:next w:val="711"/>
    <w:link w:val="712"/>
    <w:pPr>
      <w:tabs>
        <w:tab w:val="center" w:pos="4677" w:leader="none"/>
        <w:tab w:val="right" w:pos="9355" w:leader="none"/>
      </w:tabs>
    </w:pPr>
  </w:style>
  <w:style w:type="character" w:styleId="712">
    <w:name w:val="Нижний колонтитул Знак"/>
    <w:next w:val="712"/>
    <w:link w:val="711"/>
    <w:rPr>
      <w:sz w:val="24"/>
      <w:szCs w:val="24"/>
    </w:rPr>
  </w:style>
  <w:style w:type="character" w:styleId="713">
    <w:name w:val="Верхний колонтитул Знак"/>
    <w:next w:val="713"/>
    <w:link w:val="703"/>
    <w:uiPriority w:val="99"/>
    <w:rPr>
      <w:rFonts w:ascii="Arial Unicode MS" w:hAnsi="Arial Unicode MS" w:eastAsia="Arial Unicode MS" w:cs="Arial Unicode MS"/>
      <w:sz w:val="24"/>
      <w:szCs w:val="24"/>
    </w:rPr>
  </w:style>
  <w:style w:type="character" w:styleId="878" w:default="1">
    <w:name w:val="Default Paragraph Font"/>
    <w:uiPriority w:val="1"/>
    <w:semiHidden/>
    <w:unhideWhenUsed/>
  </w:style>
  <w:style w:type="numbering" w:styleId="879" w:default="1">
    <w:name w:val="No List"/>
    <w:uiPriority w:val="99"/>
    <w:semiHidden/>
    <w:unhideWhenUsed/>
  </w:style>
  <w:style w:type="table" w:styleId="88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yperlink" Target="https://minfin.saratov.gov.ru/ministerstvo/protivodejstvie-korruptsii/dokumenty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Government of Saratov region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revision>5</cp:revision>
  <dcterms:created xsi:type="dcterms:W3CDTF">2019-01-29T10:45:00Z</dcterms:created>
  <dcterms:modified xsi:type="dcterms:W3CDTF">2024-10-23T05:58:41Z</dcterms:modified>
  <cp:version>917504</cp:version>
</cp:coreProperties>
</file>