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D4B" w:rsidRDefault="00E23D4B" w:rsidP="00E23D4B">
      <w:pPr>
        <w:spacing w:after="0" w:line="360" w:lineRule="auto"/>
        <w:ind w:left="57" w:right="5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ПАТЕНТНАЯ СИСТЕМА НАЛОГООБЛОЖЕНИЯ</w:t>
      </w:r>
    </w:p>
    <w:p w:rsidR="00150835" w:rsidRPr="00157292" w:rsidRDefault="00150835" w:rsidP="00E23D4B">
      <w:pPr>
        <w:spacing w:after="0" w:line="360" w:lineRule="auto"/>
        <w:ind w:left="57" w:right="5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Патентная система налогообложения устанавливается Налоговым кодексом, вводится в действие законами субъектов Российской Федерации и применяется на территориях указанных субъектов Российской Федерации.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Налогоплательщиками признаются индивидуальные предприниматели, перешедшие на патентную систему налогообложения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на патентную систему налогообложен</w:t>
      </w:r>
      <w:bookmarkStart w:id="0" w:name="_GoBack"/>
      <w:bookmarkEnd w:id="0"/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или возврат к иным режимам налогообложения индивидуальными предпринимателями осуществляется добровольно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предприниматели, средняя численность наемных работников которых, не превышает за налоговый период,  по всем видам предпринимательской деятельности, осуществляемым индивидуальным предпринимателем, </w:t>
      </w:r>
      <w:r w:rsidRPr="001572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(</w:t>
      </w:r>
      <w:hyperlink r:id="rId6" w:anchor="block_34643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ст. 346.43.НК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084036" w:rsidRPr="00157292" w:rsidRDefault="00084036" w:rsidP="00E23D4B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Патентная система налогообложения не применяется в отношении видов предпринимательской деятельности, осуществляемых в рамках договора простого товарищества (договора о совместной деятельности) или договора доверительного управления имуществом (</w:t>
      </w:r>
      <w:hyperlink r:id="rId7" w:anchor="block_3464326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п.6 ст.346.43 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50835" w:rsidRDefault="00150835" w:rsidP="00084036">
      <w:pPr>
        <w:spacing w:after="0" w:line="360" w:lineRule="auto"/>
        <w:ind w:left="57" w:right="57"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84036" w:rsidRDefault="00084036" w:rsidP="00084036">
      <w:pPr>
        <w:spacing w:after="0" w:line="360" w:lineRule="auto"/>
        <w:ind w:left="57" w:right="57"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Заменяет налоги</w:t>
      </w:r>
    </w:p>
    <w:p w:rsidR="00150835" w:rsidRPr="00157292" w:rsidRDefault="00150835" w:rsidP="00084036">
      <w:pPr>
        <w:spacing w:after="0" w:line="360" w:lineRule="auto"/>
        <w:ind w:left="57" w:right="57"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патентной системы налогообложения предусматривает освобождение от обязанности по уплате (</w:t>
      </w:r>
      <w:hyperlink r:id="rId8" w:anchor="block_34643210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10, п.11 ст.346.43 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084036" w:rsidRPr="00157292" w:rsidRDefault="00084036" w:rsidP="00084036">
      <w:pPr>
        <w:numPr>
          <w:ilvl w:val="0"/>
          <w:numId w:val="1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Налог на доходы физических лиц</w:t>
      </w: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доходов, полученных при осуществлении видов предпринимательской деятельности, в отношении которых применяется патентная система налогообложения </w:t>
      </w:r>
    </w:p>
    <w:p w:rsidR="00084036" w:rsidRPr="00157292" w:rsidRDefault="00084036" w:rsidP="00084036">
      <w:pPr>
        <w:numPr>
          <w:ilvl w:val="0"/>
          <w:numId w:val="1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Налог на имущество физических лиц</w:t>
      </w: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имущества, используемого при осуществлении видов предпринимательской деятельности, в отношении которых применяется патентная система налогообложения </w:t>
      </w:r>
    </w:p>
    <w:p w:rsidR="00084036" w:rsidRPr="00157292" w:rsidRDefault="00084036" w:rsidP="00084036">
      <w:pPr>
        <w:numPr>
          <w:ilvl w:val="0"/>
          <w:numId w:val="1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НДС</w:t>
      </w: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НДС, подлежащего уплате: </w:t>
      </w:r>
    </w:p>
    <w:p w:rsidR="00084036" w:rsidRPr="00157292" w:rsidRDefault="00084036" w:rsidP="00084036">
      <w:pPr>
        <w:numPr>
          <w:ilvl w:val="0"/>
          <w:numId w:val="1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видов предпринимательской деятельности, в отношении которых не применяется патентная система налогообложения</w:t>
      </w:r>
    </w:p>
    <w:p w:rsidR="00084036" w:rsidRPr="00157292" w:rsidRDefault="00084036" w:rsidP="00084036">
      <w:pPr>
        <w:numPr>
          <w:ilvl w:val="0"/>
          <w:numId w:val="1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ввозе товаров на территорию Российской Федерации и иные территории, находящиеся под ее юрисдикцией</w:t>
      </w:r>
    </w:p>
    <w:p w:rsidR="00084036" w:rsidRDefault="00084036" w:rsidP="00084036">
      <w:pPr>
        <w:numPr>
          <w:ilvl w:val="0"/>
          <w:numId w:val="1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операций, облагаемых в соответствии со </w:t>
      </w:r>
      <w:hyperlink r:id="rId9" w:anchor="block_17410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174.1 НК РФ</w:t>
        </w:r>
      </w:hyperlink>
    </w:p>
    <w:p w:rsidR="00150835" w:rsidRPr="00157292" w:rsidRDefault="00150835" w:rsidP="00150835">
      <w:pPr>
        <w:spacing w:after="0" w:line="360" w:lineRule="auto"/>
        <w:ind w:left="766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Виды предпринимательской деятельности, в отношении которых возможно применение патентной системы налогообложения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ремонт, чистка, окраска и пошив обуви;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парикмахерские и косметические услуги;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химическая чистка, крашение и услуги прачечных;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изготовление и ремонт металлической галантереи, ключей, номерных знаков, указателей улиц;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ремонт мебели;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фотоателье, фото- и кинолабораторий;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техническое обслуживание и ремонт автотранспортных и мототранспортных средств, машин и оборудования;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оказание автотранспортных услуг по перевозке грузов автомобильным транспортом;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оказание автотранспортных услуг по перевозке пассажиров автомобильным транспортом;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ремонт жилья и других построек;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производству монтажных, электромонтажных, санитарно-технических и сварочных работ;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остеклению балконов и лоджий, нарезке стекла и зеркал, художественной обработке стекла;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обучению населения на курсах и по репетиторству;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присмотру и уходу за детьми и больными;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приему стеклопосуды и вторичного сырья, за исключением металлолома;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ветеринарные услуги;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сдача в аренду (наем) жилых и нежилых помещений, дач, земельных участков, принадлежащих индивидуальному предпринимателю на праве собственности;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изготовление изделий народных художественных промыслов;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производство и реставрация ковров и ковровых изделий;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ремонт ювелирных изделий, бижутерии;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чеканка и гравировка ювелирных изделий;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уборке жилых помещений и ведению домашнего хозяйства;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оформлению интерьера жилого помещения и услуги художественного оформления;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проведение занятий по физической культуре и спорту;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носильщиков на железнодорожных вокзалах, автовокзалах, аэровокзалах, в аэропортах, морских, речных портах;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платных туалетов;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поваров по изготовлению блюд на дому;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оказание услуг по перевозке пассажиров водным транспортом;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оказание услуг по перевозке грузов водным транспортом;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услуги, связанные со сбытом сельскохозяйственной продукции (хранение, сортировка, сушка, мойка, расфасовка, упаковка и транспортировка);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услуги, связанные с обслуживанием сельскохозяйственного производства (механизированные, агрохимические, мелиоративные, транспортные работы);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зеленому хозяйству и декоративному цветоводству;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ведение охотничьего хозяйства и осуществление охоты;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занятие медицинской деятельностью или фармацевтической деятельностью лицом, имеющим лицензию на указанные виды деятельности;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осуществление частной детективной деятельности лицом, имеющим лицензию;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по прокату;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экскурсионные услуги;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обрядовые услуги;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ритуальные услуги;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уличных патрулей, охранников, сторожей и вахтеров;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услуги общественного питания, оказываемые через объекты организации общественного питания, не имеющие зала обслуживания посетителей;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оказание услуг по забою, транспортировке, перегонке, выпасу скота;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производство кожи и изделий из кожи;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сбор и заготовка пищевых лесных ресурсов, недревесных лесных ресурсов и лекарственных растений;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сушка, переработка и консервирование фруктов и овощей;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производство молочной продукции;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производство плодово-ягодных посадочных материалов, выращивание рассады овощных культур и семян трав;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производство хлебобулочных и мучных кондитерских изделий;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товарное и спортивное рыболовство и рыбоводство;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лесоводство и прочая лесохозяйственная деятельность;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деятельность по письменному и устному переводу;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деятельность по уходу за престарелыми и инвалидами;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сбор, обработка и утилизация отходов, а также обработка вторичного сырья;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резка, обработка и отделка камня для памятников;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модификации;</w:t>
      </w:r>
    </w:p>
    <w:p w:rsidR="00084036" w:rsidRPr="00157292" w:rsidRDefault="00084036" w:rsidP="00084036">
      <w:pPr>
        <w:numPr>
          <w:ilvl w:val="0"/>
          <w:numId w:val="2"/>
        </w:num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 xml:space="preserve">ремонт компьютеров и коммуникационного оборудования.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 перечень видов деятельности перечислен в законе о применении индивидуальными предпринимателями патентной системы налогообложения того субъекта Российской Федерации в котором будет осуществляться предпринимательская деятельность.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Default="00084036" w:rsidP="00E23D4B">
      <w:pPr>
        <w:spacing w:after="0" w:line="360" w:lineRule="auto"/>
        <w:ind w:left="57" w:right="57"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Совмещение патентной системы налогообложения с иными системами налогообложения</w:t>
      </w:r>
    </w:p>
    <w:p w:rsidR="00150835" w:rsidRPr="00157292" w:rsidRDefault="00150835" w:rsidP="00E23D4B">
      <w:pPr>
        <w:spacing w:after="0" w:line="360" w:lineRule="auto"/>
        <w:ind w:left="57" w:right="57"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главы </w:t>
      </w:r>
      <w:hyperlink r:id="rId10" w:anchor="block_200265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26.5 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запрещают индивидуальным предпринимателям  совмещать несколько режимов налогообложения.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применении патентной системы налогообложения и осуществлении видов предпринимательской деятельности, в отношении которых индивидуальным предпринимателем применяется иной режим налогообложения, индивидуальный предприниматель обязан вести учет имущества, обязательств и хозяйственных операций в соответствии с порядком, установленным в рамках применяемого режима налогообложения (</w:t>
      </w:r>
      <w:hyperlink r:id="rId11" w:anchor="block_346536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6 ст. 346.53 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084036" w:rsidRPr="00157292" w:rsidRDefault="00084036" w:rsidP="00E23D4B">
      <w:pPr>
        <w:spacing w:after="0" w:line="360" w:lineRule="auto"/>
        <w:ind w:left="57" w:right="5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Default="00084036" w:rsidP="00E23D4B">
      <w:pPr>
        <w:spacing w:after="0" w:line="360" w:lineRule="auto"/>
        <w:ind w:left="57" w:right="57"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Документ, удостоверяющий право на применение патентной системы</w:t>
      </w:r>
    </w:p>
    <w:p w:rsidR="00150835" w:rsidRPr="00157292" w:rsidRDefault="00150835" w:rsidP="00E23D4B">
      <w:pPr>
        <w:spacing w:after="0" w:line="360" w:lineRule="auto"/>
        <w:ind w:left="57" w:right="57"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патент на осуществление 1 из видов предпринимательской деятельности, который действует на территории того муниципального образования, городского округа, города федерального значения или субъекта Российской Федерации, который указан в патенте (</w:t>
      </w:r>
      <w:hyperlink r:id="rId12" w:anchor="block_346451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 ст.346.45 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084036" w:rsidRPr="00157292" w:rsidRDefault="00150835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084036"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Форма патента на право применения патентной системы налогообложения утверждена Приказом ФНС России 26.11.2014 № ММВ-7-3/599@</w:t>
        </w:r>
      </w:hyperlink>
      <w:r w:rsidR="00084036"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ведении индивидуальным предпринимателем нескольких видов предпринимательской деятельности патент необходимо приобретать на каждый из видов деятельности отдельно.</w:t>
      </w:r>
    </w:p>
    <w:p w:rsidR="00084036" w:rsidRPr="00157292" w:rsidRDefault="00084036" w:rsidP="00E23D4B">
      <w:pPr>
        <w:spacing w:after="0" w:line="360" w:lineRule="auto"/>
        <w:ind w:left="57" w:right="5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Pr="00157292" w:rsidRDefault="00084036" w:rsidP="00E23D4B">
      <w:pPr>
        <w:spacing w:after="0" w:line="360" w:lineRule="auto"/>
        <w:ind w:left="57" w:right="57"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Срок действия патента</w:t>
      </w:r>
    </w:p>
    <w:p w:rsidR="00150835" w:rsidRDefault="00150835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1-12мес.</w:t>
      </w: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Патент выдается с любой даты, на период от одного до двенадцати месяцев включительно в пределах календарного года (</w:t>
      </w:r>
      <w:hyperlink r:id="rId14" w:anchor="block_3464545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5 ст. 346.45 НК РФ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Pr="00157292" w:rsidRDefault="00084036" w:rsidP="00E23D4B">
      <w:pPr>
        <w:spacing w:after="0" w:line="360" w:lineRule="auto"/>
        <w:ind w:left="57" w:right="57"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Процедура перехода на патентную систему налогообложения</w:t>
      </w:r>
    </w:p>
    <w:p w:rsidR="00150835" w:rsidRDefault="00150835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36" w:rsidRPr="00157292" w:rsidRDefault="00084036" w:rsidP="00084036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патента индивидуальный предприниматель должен подать в налоговый орган заявление на получение патента по форме, утвержденной </w:t>
      </w:r>
      <w:hyperlink r:id="rId15" w:tgtFrame="_blank" w:history="1">
        <w:r w:rsidRPr="001572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 ФНС России от 11.07.2017 № ММВ-7-3/544</w:t>
        </w:r>
      </w:hyperlink>
      <w:r w:rsidRPr="001572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4E0F" w:rsidRPr="00157292" w:rsidRDefault="002E4E0F" w:rsidP="00084036">
      <w:pPr>
        <w:spacing w:after="0" w:line="36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E4E0F" w:rsidRPr="00157292" w:rsidSect="001508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incon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45CD"/>
    <w:multiLevelType w:val="multilevel"/>
    <w:tmpl w:val="28F8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4347D8"/>
    <w:multiLevelType w:val="multilevel"/>
    <w:tmpl w:val="F8A2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603683"/>
    <w:multiLevelType w:val="multilevel"/>
    <w:tmpl w:val="F6A0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EB"/>
    <w:rsid w:val="00084036"/>
    <w:rsid w:val="00150835"/>
    <w:rsid w:val="00157292"/>
    <w:rsid w:val="00261FEB"/>
    <w:rsid w:val="002E4E0F"/>
    <w:rsid w:val="00E2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84036"/>
    <w:pPr>
      <w:spacing w:after="0" w:line="288" w:lineRule="atLeast"/>
      <w:outlineLvl w:val="2"/>
    </w:pPr>
    <w:rPr>
      <w:rFonts w:ascii="dincond" w:eastAsia="Times New Roman" w:hAnsi="dincond" w:cs="Times New Roman"/>
      <w:b/>
      <w:bCs/>
      <w:caps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4036"/>
    <w:rPr>
      <w:rFonts w:ascii="dincond" w:eastAsia="Times New Roman" w:hAnsi="dincond" w:cs="Times New Roman"/>
      <w:b/>
      <w:bCs/>
      <w:caps/>
      <w:sz w:val="34"/>
      <w:szCs w:val="34"/>
      <w:lang w:eastAsia="ru-RU"/>
    </w:rPr>
  </w:style>
  <w:style w:type="character" w:styleId="a3">
    <w:name w:val="Hyperlink"/>
    <w:basedOn w:val="a0"/>
    <w:uiPriority w:val="99"/>
    <w:semiHidden/>
    <w:unhideWhenUsed/>
    <w:rsid w:val="00084036"/>
    <w:rPr>
      <w:strike w:val="0"/>
      <w:dstrike w:val="0"/>
      <w:color w:val="0066B3"/>
      <w:u w:val="none"/>
      <w:effect w:val="none"/>
    </w:rPr>
  </w:style>
  <w:style w:type="character" w:styleId="a4">
    <w:name w:val="Strong"/>
    <w:basedOn w:val="a0"/>
    <w:uiPriority w:val="22"/>
    <w:qFormat/>
    <w:rsid w:val="00084036"/>
    <w:rPr>
      <w:b/>
      <w:bCs/>
    </w:rPr>
  </w:style>
  <w:style w:type="paragraph" w:customStyle="1" w:styleId="totop1">
    <w:name w:val="to_top1"/>
    <w:basedOn w:val="a"/>
    <w:rsid w:val="00084036"/>
    <w:pPr>
      <w:spacing w:after="0" w:line="240" w:lineRule="auto"/>
    </w:pPr>
    <w:rPr>
      <w:rFonts w:ascii="Times New Roman" w:eastAsia="Times New Roman" w:hAnsi="Times New Roman" w:cs="Times New Roman"/>
      <w:color w:val="0B6EB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84036"/>
    <w:pPr>
      <w:spacing w:after="0" w:line="288" w:lineRule="atLeast"/>
      <w:outlineLvl w:val="2"/>
    </w:pPr>
    <w:rPr>
      <w:rFonts w:ascii="dincond" w:eastAsia="Times New Roman" w:hAnsi="dincond" w:cs="Times New Roman"/>
      <w:b/>
      <w:bCs/>
      <w:caps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4036"/>
    <w:rPr>
      <w:rFonts w:ascii="dincond" w:eastAsia="Times New Roman" w:hAnsi="dincond" w:cs="Times New Roman"/>
      <w:b/>
      <w:bCs/>
      <w:caps/>
      <w:sz w:val="34"/>
      <w:szCs w:val="34"/>
      <w:lang w:eastAsia="ru-RU"/>
    </w:rPr>
  </w:style>
  <w:style w:type="character" w:styleId="a3">
    <w:name w:val="Hyperlink"/>
    <w:basedOn w:val="a0"/>
    <w:uiPriority w:val="99"/>
    <w:semiHidden/>
    <w:unhideWhenUsed/>
    <w:rsid w:val="00084036"/>
    <w:rPr>
      <w:strike w:val="0"/>
      <w:dstrike w:val="0"/>
      <w:color w:val="0066B3"/>
      <w:u w:val="none"/>
      <w:effect w:val="none"/>
    </w:rPr>
  </w:style>
  <w:style w:type="character" w:styleId="a4">
    <w:name w:val="Strong"/>
    <w:basedOn w:val="a0"/>
    <w:uiPriority w:val="22"/>
    <w:qFormat/>
    <w:rsid w:val="00084036"/>
    <w:rPr>
      <w:b/>
      <w:bCs/>
    </w:rPr>
  </w:style>
  <w:style w:type="paragraph" w:customStyle="1" w:styleId="totop1">
    <w:name w:val="to_top1"/>
    <w:basedOn w:val="a"/>
    <w:rsid w:val="00084036"/>
    <w:pPr>
      <w:spacing w:after="0" w:line="240" w:lineRule="auto"/>
    </w:pPr>
    <w:rPr>
      <w:rFonts w:ascii="Times New Roman" w:eastAsia="Times New Roman" w:hAnsi="Times New Roman" w:cs="Times New Roman"/>
      <w:color w:val="0B6EB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583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18929977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52798581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02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17758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7471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83199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44074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5945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79621969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8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144588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81444520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97138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21866235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14234">
                              <w:marLeft w:val="-9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35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753258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62653c6d8c1fec0d9d9832f37feb36f8/" TargetMode="External"/><Relationship Id="rId13" Type="http://schemas.openxmlformats.org/officeDocument/2006/relationships/hyperlink" Target="https://www.nalog.ru/html/sites/www.new.nalog.ru/docs/fns_599.zi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alog.garant.ru/fns/nk/62653c6d8c1fec0d9d9832f37feb36f8/" TargetMode="External"/><Relationship Id="rId12" Type="http://schemas.openxmlformats.org/officeDocument/2006/relationships/hyperlink" Target="http://nalog.garant.ru/fns/nk/8da055adfdbeb67a44e7419caf3bf35c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62653c6d8c1fec0d9d9832f37feb36f8/" TargetMode="External"/><Relationship Id="rId11" Type="http://schemas.openxmlformats.org/officeDocument/2006/relationships/hyperlink" Target="http://nalog.garant.ru/fns/nk/bcab59924f3519dfb23066445ce1268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ru/rn64/taxation/taxes/patent/6986098/" TargetMode="External"/><Relationship Id="rId10" Type="http://schemas.openxmlformats.org/officeDocument/2006/relationships/hyperlink" Target="http://nalog.garant.ru/fns/nk/c795308775a57fb313c764c676bc1b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log.garant.ru/fns/nk/08d354bd4142992f367f21216deec0bf/" TargetMode="External"/><Relationship Id="rId14" Type="http://schemas.openxmlformats.org/officeDocument/2006/relationships/hyperlink" Target="http://nalog.garant.ru/fns/nk/8da055adfdbeb67a44e7419caf3bf35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4294939944</TotalTime>
  <Pages>3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Потапова Анна Юрьевна</cp:lastModifiedBy>
  <cp:revision>5</cp:revision>
  <dcterms:created xsi:type="dcterms:W3CDTF">2018-09-27T19:05:00Z</dcterms:created>
  <dcterms:modified xsi:type="dcterms:W3CDTF">2018-09-28T12:02:00Z</dcterms:modified>
</cp:coreProperties>
</file>