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D3F" w:rsidRPr="00F91D3F" w:rsidRDefault="00F91D3F" w:rsidP="00F91D3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1D3F">
        <w:rPr>
          <w:rFonts w:ascii="PT Astra Serif" w:hAnsi="PT Astra Serif" w:cs="Times New Roman"/>
          <w:b/>
          <w:sz w:val="28"/>
          <w:szCs w:val="28"/>
        </w:rPr>
        <w:t xml:space="preserve">Основные положения (выдержки) учетной политики государственного автономного учреждения Саратовской области </w:t>
      </w:r>
    </w:p>
    <w:p w:rsidR="00F91D3F" w:rsidRPr="00F91D3F" w:rsidRDefault="00F91D3F" w:rsidP="00F91D3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1D3F">
        <w:rPr>
          <w:rFonts w:ascii="PT Astra Serif" w:hAnsi="PT Astra Serif" w:cs="Times New Roman"/>
          <w:b/>
          <w:sz w:val="28"/>
          <w:szCs w:val="28"/>
        </w:rPr>
        <w:t>«Центр бюджетных исследований»</w:t>
      </w:r>
    </w:p>
    <w:p w:rsidR="00F91D3F" w:rsidRPr="00F91D3F" w:rsidRDefault="00F91D3F" w:rsidP="00F91D3F">
      <w:pPr>
        <w:spacing w:after="0" w:line="240" w:lineRule="auto"/>
        <w:ind w:firstLine="709"/>
        <w:rPr>
          <w:rFonts w:ascii="PT Astra Serif" w:hAnsi="PT Astra Serif" w:cs="Times New Roman"/>
          <w:sz w:val="28"/>
          <w:szCs w:val="28"/>
        </w:rPr>
      </w:pP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F91D3F">
        <w:rPr>
          <w:rFonts w:ascii="PT Astra Serif" w:hAnsi="PT Astra Serif" w:cs="Times New Roman"/>
          <w:sz w:val="28"/>
          <w:szCs w:val="28"/>
        </w:rPr>
        <w:t>В соответствии с пунктом 9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Министерства финансов Российской Федерации от 30 декабря 2017 года № 274н, представлена обобщенная информация, которая содержит основные положения (перечень основных способов ведения учета – особенностей), установленные документами учетной политики государственного автономного учреждения Саратовской области «Центр бюджетных исследований» (далее – ГАУ СО «ЦБИ</w:t>
      </w:r>
      <w:proofErr w:type="gramEnd"/>
      <w:r w:rsidRPr="00F91D3F">
        <w:rPr>
          <w:rFonts w:ascii="PT Astra Serif" w:hAnsi="PT Astra Serif" w:cs="Times New Roman"/>
          <w:sz w:val="28"/>
          <w:szCs w:val="28"/>
        </w:rPr>
        <w:t xml:space="preserve">», </w:t>
      </w:r>
      <w:proofErr w:type="gramStart"/>
      <w:r w:rsidRPr="00F91D3F">
        <w:rPr>
          <w:rFonts w:ascii="PT Astra Serif" w:hAnsi="PT Astra Serif" w:cs="Times New Roman"/>
          <w:sz w:val="28"/>
          <w:szCs w:val="28"/>
        </w:rPr>
        <w:t>Учреждение).</w:t>
      </w:r>
      <w:proofErr w:type="gramEnd"/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 xml:space="preserve">Учетная политика ГАУ СО «ЦБИ» утверждена приказом от 30 декабря 2022 года № 34 «Об учетной политике ГАУ </w:t>
      </w:r>
      <w:proofErr w:type="gramStart"/>
      <w:r w:rsidRPr="00F91D3F">
        <w:rPr>
          <w:rFonts w:ascii="PT Astra Serif" w:hAnsi="PT Astra Serif" w:cs="Times New Roman"/>
          <w:sz w:val="28"/>
          <w:szCs w:val="28"/>
        </w:rPr>
        <w:t>СО</w:t>
      </w:r>
      <w:proofErr w:type="gramEnd"/>
      <w:r w:rsidRPr="00F91D3F">
        <w:rPr>
          <w:rFonts w:ascii="PT Astra Serif" w:hAnsi="PT Astra Serif" w:cs="Times New Roman"/>
          <w:sz w:val="28"/>
          <w:szCs w:val="28"/>
        </w:rPr>
        <w:t xml:space="preserve"> «Центр бюджетных исследований».</w:t>
      </w:r>
    </w:p>
    <w:p w:rsidR="00F91D3F" w:rsidRPr="00F91D3F" w:rsidRDefault="00F91D3F" w:rsidP="00F91D3F">
      <w:pPr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</w:p>
    <w:p w:rsidR="00F91D3F" w:rsidRPr="00F91D3F" w:rsidRDefault="00F91D3F" w:rsidP="00F91D3F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r w:rsidRPr="00F91D3F">
        <w:rPr>
          <w:rFonts w:ascii="PT Astra Serif" w:hAnsi="PT Astra Serif" w:cs="Times New Roman"/>
          <w:b/>
          <w:sz w:val="28"/>
          <w:szCs w:val="28"/>
        </w:rPr>
        <w:t>1. Общие положения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u w:val="single"/>
        </w:rPr>
      </w:pPr>
      <w:r w:rsidRPr="00F91D3F">
        <w:rPr>
          <w:rFonts w:ascii="PT Astra Serif" w:hAnsi="PT Astra Serif" w:cs="Times New Roman"/>
          <w:sz w:val="28"/>
          <w:szCs w:val="28"/>
          <w:u w:val="single"/>
        </w:rPr>
        <w:t>Выдержка</w:t>
      </w:r>
    </w:p>
    <w:p w:rsidR="00F91D3F" w:rsidRPr="00F91D3F" w:rsidRDefault="00F91D3F" w:rsidP="00F91D3F">
      <w:pPr>
        <w:pStyle w:val="a5"/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F91D3F">
        <w:rPr>
          <w:rFonts w:ascii="PT Astra Serif" w:hAnsi="PT Astra Serif" w:cs="Times New Roman"/>
          <w:sz w:val="28"/>
          <w:szCs w:val="28"/>
        </w:rPr>
        <w:t>1.1.Учетная политика в целях организации бухгалтерского учета сформирована на основе Бюджетного кодекса Российской Федерации от 31 июля 1998 года №145-ФЗ (далее Бюджетный кодекс РФ), Федерального закона от 6 декабря 2011 года № 402-ФЗ «О бухгалтерском учете» (далее - Федеральный закон № 402-ФЗ), приказа Минфина РФ от 1 декабря 2010 года №157н «Об утверждении Единого плана счетов бухгалтерского учета для органов государственной власти</w:t>
      </w:r>
      <w:proofErr w:type="gramEnd"/>
      <w:r w:rsidRPr="00F91D3F">
        <w:rPr>
          <w:rFonts w:ascii="PT Astra Serif" w:hAnsi="PT Astra Serif" w:cs="Times New Roman"/>
          <w:sz w:val="28"/>
          <w:szCs w:val="28"/>
        </w:rPr>
        <w:t xml:space="preserve">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(далее - Инструкция №157н), приказа Минфина РФ от 23 декабря 2010 года № 183н (далее – Инструкция №183н), иных нормативно-правовых актов в сфере бухучета, а также Устава Учреждения.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 xml:space="preserve">1.2. </w:t>
      </w:r>
      <w:proofErr w:type="gramStart"/>
      <w:r w:rsidRPr="00F91D3F">
        <w:rPr>
          <w:rFonts w:ascii="PT Astra Serif" w:hAnsi="PT Astra Serif" w:cs="Times New Roman"/>
          <w:sz w:val="28"/>
          <w:szCs w:val="28"/>
        </w:rPr>
        <w:t>Данные бухгалтерского учета и сформированная на их основе отчетность субъектов учета формируются с учетом существенности фактов хозяйственной жизни, которые оказали или могут оказать влияние на финансовое состояние, движение денежных средств или результаты деятельности учреждения и имели место в период между отчетной датой и датой подписания бухгалтерской (финансовой) отчетности (далее - событие после отчетной даты).</w:t>
      </w:r>
      <w:proofErr w:type="gramEnd"/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Основание: п. 3 Инструкции № 157н.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1.3. Признание в учете и раскрытие в бухгалтерской отчетности событий после отчетной даты осуществляется в порядке, приведенном в приложении №1 к Учетной политике.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lastRenderedPageBreak/>
        <w:t>2. Организация бухгалтерского учета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2.1. Ответственным за организацию бухгалтерского учета и соблюдение законодательства при выполнении фактов хозяйственной жизни является директор Учреждения.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ч.1 ст.7 Федерального Закона № 402-ФЗ.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2.2. Ответственным за ведение бухгалтерского учета, своевременное представление полной и достоверной бухгалтерской отчетности является главный бухгалтер.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ч.3 ст.7 Федерального Закона № 402-ФЗ.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2.3.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Главный бухгалтер подчиняется непосредственно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директору.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2.4. Бухгалтерский учет ведется главным бухгалтером с применением программного продукта конфигурации «1С: Бухгалтерия государственного учреждения 8.3» и «1С: Зарплата и Управление персоналом бюджетного учреждения».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С использованием телекоммуникационных каналов связи и электронной подписи главный бухгалтер осуществляет электронный документооборот по следующим направлениям:</w:t>
      </w:r>
    </w:p>
    <w:p w:rsidR="00F91D3F" w:rsidRPr="00F91D3F" w:rsidRDefault="00F91D3F" w:rsidP="00F91D3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система электронного документооборота с территориальным органом Казначейства России;</w:t>
      </w:r>
    </w:p>
    <w:p w:rsidR="00F91D3F" w:rsidRPr="00F91D3F" w:rsidRDefault="00F91D3F" w:rsidP="00F91D3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передача отчетности по налогам, сборам и иным обязательным платежам в инспекцию Федеральной налоговой службы;</w:t>
      </w:r>
    </w:p>
    <w:p w:rsidR="00F91D3F" w:rsidRPr="00F91D3F" w:rsidRDefault="00F91D3F" w:rsidP="00F91D3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передача отчетности по страховым взносам и сведениям персонифицированного учета в отделение Социального фонда России;</w:t>
      </w:r>
    </w:p>
    <w:p w:rsidR="00F91D3F" w:rsidRPr="00F91D3F" w:rsidRDefault="00F91D3F" w:rsidP="00F91D3F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передача отчетности в органы статистики:</w:t>
      </w:r>
    </w:p>
    <w:p w:rsidR="00F91D3F" w:rsidRPr="00F91D3F" w:rsidRDefault="00F91D3F" w:rsidP="00F91D3F">
      <w:pPr>
        <w:tabs>
          <w:tab w:val="left" w:pos="0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передача бухгалтерской отчетности учредителю.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п.19 Инструкции № 157н.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2.5. Бухгалтерский учет ведется с использованием рабочего Плана счетов, разработанного в соответствии с Инструкцией № 157н, Инструкцией № 183н (приложение № 2 к Учетной политике).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п. 21 – 21.2 Инструкции № 157н, п.3 Инструкции 183н, п.19 СГС «Концептуальные основы».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2.6. В целях обеспечения достоверности данных бухгалтерского учета и отчетности проводится инвентаризация имущества и обязательств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в соответствии с Положением об инвентаризации имущества и обязательств учреждения (приложение № 3 к Учетной политике).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ст.11 Федерального Закона №402-ФЗ, разд. VIII СГС «Концептуальные основы».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2.7. Учреждением ведется раздельный учет по источникам финансирования: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- собственные средства учреждения (2);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- субсидия на выполнение государственного задания (4);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- субсидия на иные цели (5).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91D3F" w:rsidRPr="00F91D3F" w:rsidRDefault="00F91D3F" w:rsidP="00F91D3F">
      <w:pPr>
        <w:pStyle w:val="western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91D3F">
        <w:rPr>
          <w:rFonts w:ascii="PT Astra Serif" w:hAnsi="PT Astra Serif"/>
          <w:b/>
          <w:sz w:val="28"/>
          <w:szCs w:val="28"/>
        </w:rPr>
        <w:t>3. Первичные документы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3.1. Для ведения бухгалтерского учета применяются: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- унифицированные первичные документы, предусмотренные приказом Минфина РФ от 30.03.2015 №52н «Об утверждении форм первичных учетных</w:t>
      </w:r>
      <w:hyperlink r:id="rId8" w:anchor="YANDEX_44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документов и регистров бухгалтерского учета, применяемых </w:t>
      </w:r>
      <w:hyperlink r:id="rId9" w:anchor="YANDEX_43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органами</w:t>
      </w:r>
      <w:proofErr w:type="gramEnd"/>
      <w:r w:rsidRPr="00F91D3F">
        <w:rPr>
          <w:rFonts w:ascii="PT Astra Serif" w:hAnsi="PT Astra Serif"/>
        </w:rPr>
        <w:fldChar w:fldCharType="begin"/>
      </w:r>
      <w:r w:rsidRPr="00F91D3F">
        <w:rPr>
          <w:rFonts w:ascii="PT Astra Serif" w:hAnsi="PT Astra Serif"/>
        </w:rPr>
        <w:instrText xml:space="preserve"> HYPERLINK 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\l "YANDEX_45" </w:instrText>
      </w:r>
      <w:r w:rsidRPr="00F91D3F">
        <w:rPr>
          <w:rFonts w:ascii="PT Astra Serif" w:hAnsi="PT Astra Serif"/>
        </w:rPr>
        <w:fldChar w:fldCharType="separate"/>
      </w:r>
      <w:r w:rsidRPr="00F91D3F">
        <w:rPr>
          <w:rFonts w:ascii="PT Astra Serif" w:hAnsi="PT Astra Serif"/>
        </w:rPr>
        <w:fldChar w:fldCharType="end"/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государственной власти (государственными </w:t>
      </w:r>
      <w:hyperlink r:id="rId10" w:anchor="YANDEX_44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органами</w:t>
      </w:r>
      <w:hyperlink r:id="rId11" w:anchor="YANDEX_46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), </w:t>
      </w:r>
      <w:hyperlink r:id="rId12" w:anchor="YANDEX_45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органами</w:t>
      </w:r>
      <w:hyperlink r:id="rId13" w:anchor="YANDEX_47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hyperlink r:id="rId14" w:anchor="YANDEX_46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местного</w:t>
      </w:r>
      <w:hyperlink r:id="rId15" w:anchor="YANDEX_48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hyperlink r:id="rId16" w:anchor="YANDEX_47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самоуправления</w:t>
      </w:r>
      <w:hyperlink r:id="rId17" w:anchor="YANDEX_49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, </w:t>
      </w:r>
      <w:hyperlink r:id="rId18" w:anchor="YANDEX_48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органами</w:t>
      </w:r>
      <w:hyperlink r:id="rId19" w:anchor="YANDEX_50" w:history="1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управления государственными внебюджетными фондами, государственными академиями наук, государственными (муниципальными) учреждениями и Методических указаний по их применению» и </w:t>
      </w:r>
      <w:hyperlink r:id="rId20" w:history="1">
        <w:r w:rsidRPr="00F91D3F">
          <w:rPr>
            <w:rFonts w:ascii="PT Astra Serif" w:hAnsi="PT Astra Serif" w:cs="Times New Roman CYR"/>
            <w:sz w:val="28"/>
            <w:szCs w:val="28"/>
            <w:lang w:eastAsia="ru-RU"/>
          </w:rPr>
          <w:t>приказом</w:t>
        </w:r>
      </w:hyperlink>
      <w:r w:rsidRPr="00F91D3F">
        <w:rPr>
          <w:rFonts w:ascii="PT Astra Serif" w:hAnsi="PT Astra Serif" w:cs="Times New Roman CYR"/>
          <w:sz w:val="28"/>
          <w:szCs w:val="28"/>
          <w:lang w:eastAsia="ru-RU"/>
        </w:rPr>
        <w:t xml:space="preserve"> Минфина России от 15.04.2021 № 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(приложение №4 к Учетной политике);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- самостоятельно разработанные Учреждением формы первичных учетных документов, образцы которых приведены в приложении №5 к Учетной политике.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Основание: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п.25-26 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СГС «Концептуальные основы»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bookmarkStart w:id="0" w:name="YANDEX_43"/>
      <w:bookmarkStart w:id="1" w:name="YANDEX_44"/>
      <w:bookmarkStart w:id="2" w:name="YANDEX_45"/>
      <w:bookmarkStart w:id="3" w:name="YANDEX_46"/>
      <w:bookmarkStart w:id="4" w:name="YANDEX_47"/>
      <w:bookmarkStart w:id="5" w:name="YANDEX_48"/>
      <w:bookmarkStart w:id="6" w:name="YANDEX_49"/>
      <w:bookmarkEnd w:id="0"/>
      <w:bookmarkEnd w:id="1"/>
      <w:bookmarkEnd w:id="2"/>
      <w:bookmarkEnd w:id="3"/>
      <w:bookmarkEnd w:id="4"/>
      <w:bookmarkEnd w:id="5"/>
      <w:bookmarkEnd w:id="6"/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3.2.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Первичные учетные документы, утвержденные Приказом №52н, составляются на бумажном носителе. 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iCs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Основание: ст.9 Федерального Закона №402-ФЗ, </w:t>
      </w:r>
      <w:hyperlink r:id="rId21" w:history="1">
        <w:r w:rsidRPr="00F91D3F">
          <w:rPr>
            <w:rFonts w:ascii="PT Astra Serif" w:eastAsia="Calibri" w:hAnsi="PT Astra Serif" w:cs="Times New Roman"/>
            <w:iCs/>
            <w:sz w:val="28"/>
            <w:szCs w:val="28"/>
            <w:lang w:eastAsia="ru-RU"/>
          </w:rPr>
          <w:t>п.32</w:t>
        </w:r>
      </w:hyperlink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 СГС «Концептуальные основы».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 CYR"/>
          <w:sz w:val="28"/>
          <w:szCs w:val="28"/>
          <w:lang w:eastAsia="ru-RU"/>
        </w:rPr>
        <w:t>Первичные учетные документы, утвержденные П</w:t>
      </w:r>
      <w:r w:rsidRPr="00F91D3F">
        <w:rPr>
          <w:rFonts w:ascii="PT Astra Serif" w:eastAsia="Times New Roman" w:hAnsi="PT Astra Serif" w:cs="Times New Roman CYR"/>
          <w:bCs/>
          <w:color w:val="26282F"/>
          <w:sz w:val="28"/>
          <w:szCs w:val="28"/>
          <w:lang w:eastAsia="ru-RU"/>
        </w:rPr>
        <w:t xml:space="preserve">риказом №61н, оформляются в виде электронных документов в соответствии с бизнес процессами, описанными в Методических рекомендациях по их применению.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Копии электронных документов формируются </w:t>
      </w:r>
      <w:r w:rsidRPr="00F91D3F">
        <w:rPr>
          <w:rFonts w:ascii="PT Astra Serif" w:eastAsia="Times New Roman" w:hAnsi="PT Astra Serif" w:cs="Times New Roman CYR"/>
          <w:bCs/>
          <w:color w:val="26282F"/>
          <w:sz w:val="28"/>
          <w:szCs w:val="28"/>
          <w:lang w:eastAsia="ru-RU"/>
        </w:rPr>
        <w:t>путем распечатывания.</w:t>
      </w:r>
      <w:r w:rsidRPr="00F91D3F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 CYR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Основание: </w:t>
      </w:r>
      <w:hyperlink r:id="rId22" w:history="1">
        <w:r w:rsidRPr="00F91D3F">
          <w:rPr>
            <w:rFonts w:ascii="PT Astra Serif" w:eastAsia="Times New Roman" w:hAnsi="PT Astra Serif" w:cs="Times New Roman CYR"/>
            <w:sz w:val="28"/>
            <w:szCs w:val="28"/>
            <w:lang w:eastAsia="ru-RU"/>
          </w:rPr>
          <w:t>п.25</w:t>
        </w:r>
      </w:hyperlink>
      <w:r w:rsidRPr="00F91D3F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 СГС «Концептуальные основы», </w:t>
      </w:r>
      <w:hyperlink r:id="rId23" w:history="1">
        <w:r w:rsidRPr="00F91D3F">
          <w:rPr>
            <w:rFonts w:ascii="PT Astra Serif" w:eastAsia="Times New Roman" w:hAnsi="PT Astra Serif" w:cs="Times New Roman CYR"/>
            <w:sz w:val="28"/>
            <w:szCs w:val="28"/>
            <w:lang w:eastAsia="ru-RU"/>
          </w:rPr>
          <w:t>п.11</w:t>
        </w:r>
      </w:hyperlink>
      <w:r w:rsidRPr="00F91D3F">
        <w:rPr>
          <w:rFonts w:ascii="PT Astra Serif" w:eastAsia="Times New Roman" w:hAnsi="PT Astra Serif" w:cs="Times New Roman CYR"/>
          <w:sz w:val="28"/>
          <w:szCs w:val="28"/>
          <w:lang w:eastAsia="ru-RU"/>
        </w:rPr>
        <w:t xml:space="preserve"> Инструкции 157н.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3.3. Г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рафик документооборота приведен в 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приложении № 6 к Учетной политике.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iCs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Основание: </w:t>
      </w:r>
      <w:hyperlink r:id="rId24" w:history="1">
        <w:r w:rsidRPr="00F91D3F">
          <w:rPr>
            <w:rFonts w:ascii="PT Astra Serif" w:eastAsia="Calibri" w:hAnsi="PT Astra Serif" w:cs="Times New Roman"/>
            <w:iCs/>
            <w:sz w:val="28"/>
            <w:szCs w:val="28"/>
            <w:lang w:eastAsia="ru-RU"/>
          </w:rPr>
          <w:t>п. 22</w:t>
        </w:r>
      </w:hyperlink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 СГС «Концептуальные основы».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iCs/>
          <w:sz w:val="28"/>
          <w:szCs w:val="28"/>
          <w:lang w:eastAsia="ru-RU"/>
        </w:rPr>
      </w:pPr>
    </w:p>
    <w:p w:rsidR="00F91D3F" w:rsidRPr="00F91D3F" w:rsidRDefault="00F91D3F" w:rsidP="00F91D3F">
      <w:pPr>
        <w:pStyle w:val="western"/>
        <w:spacing w:before="0" w:beforeAutospacing="0" w:after="0" w:afterAutospacing="0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F91D3F">
        <w:rPr>
          <w:rFonts w:ascii="PT Astra Serif" w:hAnsi="PT Astra Serif"/>
          <w:b/>
          <w:sz w:val="28"/>
          <w:szCs w:val="28"/>
        </w:rPr>
        <w:t>4. Регистры бухгалтерского учета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4.1.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Учреждение использует унифицированные формы регистров бухучета 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(приложение № 7 к Учетной политике)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. При необходимости формы регистров, которые не унифицированы, разрабатываются самостоятельно.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7" w:name="sub_201122"/>
      <w:r w:rsidRPr="00F91D3F">
        <w:rPr>
          <w:rFonts w:ascii="PT Astra Serif" w:eastAsia="Times New Roman" w:hAnsi="PT Astra Serif" w:cs="Times New Roman"/>
          <w:sz w:val="28"/>
          <w:szCs w:val="28"/>
        </w:rPr>
        <w:lastRenderedPageBreak/>
        <w:t>Правильность отражения фактов хозяйственной жизни в регистрах бухгалтерского учета согласно предоставленным для регистрации первичным учетным документам обеспечивают лица, составившие и подписавшие их.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п.11 Инструкции № 157н;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п.9 СГС «Учетная политика».</w:t>
      </w:r>
    </w:p>
    <w:bookmarkEnd w:id="7"/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4.2. Регистры бухгалтерского учета оформляются на русском языке.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п.13 Инструкции № 157н.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4.3. В условиях комплексной автоматизации бухгалтерского учета данные синтетического и аналитического учета формируются в базах данных используемого программного комплекса.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Регистры бухгалтерского учета, утвержденные Приказом №61н, составляются в виде электронных документов, подписанных квалифицированной электронной подписью, в предусмотренных случаях - простой электронной подписью. 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Основание: </w:t>
      </w:r>
      <w:hyperlink r:id="rId25" w:history="1">
        <w:r w:rsidRPr="00F91D3F">
          <w:rPr>
            <w:rFonts w:ascii="PT Astra Serif" w:eastAsia="Times New Roman" w:hAnsi="PT Astra Serif" w:cs="Times New Roman"/>
            <w:iCs/>
            <w:sz w:val="28"/>
            <w:szCs w:val="28"/>
            <w:lang w:eastAsia="ru-RU"/>
          </w:rPr>
          <w:t>п.32</w:t>
        </w:r>
      </w:hyperlink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 СГС «Концептуальные основы», </w:t>
      </w:r>
      <w:hyperlink r:id="rId26" w:history="1">
        <w:r w:rsidRPr="00F91D3F">
          <w:rPr>
            <w:rFonts w:ascii="PT Astra Serif" w:eastAsia="Times New Roman" w:hAnsi="PT Astra Serif" w:cs="Times New Roman"/>
            <w:iCs/>
            <w:sz w:val="28"/>
            <w:szCs w:val="28"/>
            <w:lang w:eastAsia="ru-RU"/>
          </w:rPr>
          <w:t>п.11</w:t>
        </w:r>
      </w:hyperlink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 Инструкции №157н, Методические </w:t>
      </w:r>
      <w:hyperlink r:id="rId27" w:history="1">
        <w:r w:rsidRPr="00F91D3F">
          <w:rPr>
            <w:rFonts w:ascii="PT Astra Serif" w:eastAsia="Times New Roman" w:hAnsi="PT Astra Serif" w:cs="Times New Roman"/>
            <w:iCs/>
            <w:sz w:val="28"/>
            <w:szCs w:val="28"/>
            <w:lang w:eastAsia="ru-RU"/>
          </w:rPr>
          <w:t>указания</w:t>
        </w:r>
      </w:hyperlink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 №52н, Методические указания №61н.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4.4. Учетные документы, регистры бухгалтерского учета и бюджетная отчетность хранятся в течение сроков, устанавливаемых в соответствии с правилами ведения архивного дела.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bookmarkStart w:id="8" w:name="YANDEX_52"/>
      <w:bookmarkEnd w:id="8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п.33 СГС «Концептуальные основы».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5. Учет основных средств и иных нефинансовых активов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5.1. М</w:t>
      </w: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атериальный объект подлежит признанию в бухгалтерском учете в составе основных сре</w:t>
      </w:r>
      <w:proofErr w:type="gramStart"/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дств пр</w:t>
      </w:r>
      <w:proofErr w:type="gramEnd"/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и условии, что срок его полезного использования более 12 месяцев и Учреждением прогнозируется получение от его использования экономических выгод или полезного потенциала и первоначальную стоимость материального объекта, как объекта бухгалтерского учета, можно надежно оценить.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Основание: п. 8 СГС «Основные средства».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5.2. Срок полезного использования объекта основных средств определяется исходя из ожидаемого срока получения экономических выгод и (или) полезного потенциала, заключенного в активе, в порядке, установленном </w:t>
      </w:r>
      <w:hyperlink r:id="rId28" w:history="1"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35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СГС «Основные средства», </w:t>
      </w:r>
      <w:hyperlink r:id="rId29" w:history="1"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44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Инструкции №157н.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5.3. Амортизация по всем основным средствам начисляется линейным методом.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Основание: </w:t>
      </w:r>
      <w:hyperlink r:id="rId30" w:history="1">
        <w:r w:rsidRPr="00F91D3F">
          <w:rPr>
            <w:rFonts w:ascii="PT Astra Serif" w:eastAsia="Calibri" w:hAnsi="PT Astra Serif" w:cs="Times New Roman"/>
            <w:iCs/>
            <w:sz w:val="28"/>
            <w:szCs w:val="28"/>
            <w:lang w:eastAsia="ru-RU"/>
          </w:rPr>
          <w:t>п. п. 36</w:t>
        </w:r>
      </w:hyperlink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, </w:t>
      </w:r>
      <w:hyperlink r:id="rId31" w:history="1">
        <w:r w:rsidRPr="00F91D3F">
          <w:rPr>
            <w:rFonts w:ascii="PT Astra Serif" w:eastAsia="Calibri" w:hAnsi="PT Astra Serif" w:cs="Times New Roman"/>
            <w:iCs/>
            <w:sz w:val="28"/>
            <w:szCs w:val="28"/>
            <w:lang w:eastAsia="ru-RU"/>
          </w:rPr>
          <w:t>37</w:t>
        </w:r>
      </w:hyperlink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 СГС «Основные средства».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5.4. Каждому инвентарному объекту недвижимого имущества, а также инвентарному объекту движимого имущества (кроме объектов стоимостью до 10 000 руб. включительно и объектов библиотечного фонда независимо от их стоимости) присваивается уникальный 11-значный инвентарный порядковый номер независимо от того, находится ли он в эксплуатации, запасе или на консервации.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5.5. </w:t>
      </w: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Первоначальная стоимость объекта определяется по сумме фактически произведенных капитальных вложений, формируемых с учетом </w:t>
      </w: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lastRenderedPageBreak/>
        <w:t>сумм налога на добавленную стоимость (далее - НДС), предъявленных поставщиками (подрядчиками, исполнителями).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</w:rPr>
        <w:t>Балансовая стоимость объекта основных средств видов «Машины и оборудование» увеличивается на стоимость затрат по замене его отдельных составных частей при условии, что такие составные части в соответствии с критериями признания объекта основных средств признаются активом и согласно порядку эксплуатации объекта (его составных частей) требуется такая замена, в том числе в ходе капитального ремонта.</w:t>
      </w:r>
      <w:proofErr w:type="gramEnd"/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Одновременно балансовая стоимость этого объекта уменьшается на стоимость выбывающих (заменяемых) частей.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</w:rPr>
        <w:t>Основание: п. п. 19, 27 СГС «Основные средства».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bookmarkStart w:id="9" w:name="_ref_1-307887"/>
      <w:bookmarkEnd w:id="9"/>
      <w:r w:rsidRPr="00F91D3F">
        <w:rPr>
          <w:rFonts w:ascii="PT Astra Serif" w:eastAsia="Times New Roman" w:hAnsi="PT Astra Serif" w:cs="Times New Roman"/>
          <w:sz w:val="28"/>
          <w:szCs w:val="28"/>
        </w:rPr>
        <w:t>5.6. Балансовая стоимость объекта основных сре</w:t>
      </w: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</w:rPr>
        <w:t>дств в сл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</w:rPr>
        <w:t>учаях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</w:rPr>
        <w:t>разукомплектации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</w:rPr>
        <w:t>), увеличивается на сумму сформированных капитальных вложений в этот объект.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</w:rPr>
        <w:t>Основание: п. 19 СГС «Основные средства».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5.7. В случае частичной ликвидации (</w:t>
      </w:r>
      <w:proofErr w:type="spellStart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разукомплектации</w:t>
      </w:r>
      <w:proofErr w:type="spellEnd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) объекта основного средства при условии, что стоимость ликвидируемых (разукомплектованных) частей не была выделена в документах поставщика, стоимость таких частей определяется пропорционально следующему показателю (в порядке убывания важности):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площадь;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объем;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вес;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- иной показатель, установленный Единой комиссией.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Основание: </w:t>
      </w:r>
      <w:hyperlink r:id="rId32" w:history="1">
        <w:r w:rsidRPr="00F91D3F">
          <w:rPr>
            <w:rFonts w:ascii="PT Astra Serif" w:eastAsia="Calibri" w:hAnsi="PT Astra Serif" w:cs="Times New Roman"/>
            <w:iCs/>
            <w:sz w:val="28"/>
            <w:szCs w:val="28"/>
            <w:lang w:eastAsia="ru-RU"/>
          </w:rPr>
          <w:t>п. 6</w:t>
        </w:r>
      </w:hyperlink>
      <w:r w:rsidRPr="00F91D3F">
        <w:rPr>
          <w:rFonts w:ascii="PT Astra Serif" w:eastAsia="Calibri" w:hAnsi="PT Astra Serif" w:cs="Times New Roman"/>
          <w:iCs/>
          <w:sz w:val="28"/>
          <w:szCs w:val="28"/>
          <w:lang w:eastAsia="ru-RU"/>
        </w:rPr>
        <w:t xml:space="preserve"> Инструкции № 157н.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5.8. В Учреждении организован раздельный учет основных средств по аналитическим 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</w:rPr>
        <w:t>группировочным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кодам: 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</w:rPr>
        <w:t>- «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Особо ценное движимое имущество учреждения»;</w:t>
      </w:r>
    </w:p>
    <w:p w:rsidR="00F91D3F" w:rsidRPr="00F91D3F" w:rsidRDefault="00F91D3F" w:rsidP="00F91D3F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000000"/>
          <w:sz w:val="28"/>
          <w:szCs w:val="28"/>
        </w:rPr>
        <w:t>- «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>Иное движимое имущество учреждения».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Основание: Постановление Правительства РФ от 26.07.2010 № 538 «О порядке отнесения имущества автономного бюджетного учреждения к категории особо ценного движимого имущества». </w:t>
      </w:r>
    </w:p>
    <w:p w:rsidR="00F91D3F" w:rsidRPr="00F91D3F" w:rsidRDefault="00F91D3F" w:rsidP="00F91D3F">
      <w:pPr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В состав особо ценного движимого имущества включается: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имущество, закрепленное собственником при создании Учреждения как особо ценное;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- имущество, приобретенное Учреждением за счет средств, выделенных ему собственником, балансовая стоимость которого превышает 50 тыс. руб.</w:t>
      </w:r>
    </w:p>
    <w:p w:rsidR="00F91D3F" w:rsidRPr="00F91D3F" w:rsidRDefault="00F91D3F" w:rsidP="00F91D3F">
      <w:pPr>
        <w:pStyle w:val="a3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 w:rsidRPr="00F91D3F">
        <w:rPr>
          <w:rFonts w:ascii="PT Astra Serif" w:eastAsia="Calibri" w:hAnsi="PT Astra Serif"/>
          <w:sz w:val="28"/>
          <w:szCs w:val="28"/>
        </w:rPr>
        <w:t>5.9. В составе материальных запасов учитываются</w:t>
      </w:r>
      <w:r w:rsidRPr="00F91D3F">
        <w:rPr>
          <w:rFonts w:ascii="PT Astra Serif" w:hAnsi="PT Astra Serif"/>
          <w:sz w:val="28"/>
          <w:szCs w:val="28"/>
        </w:rPr>
        <w:t>: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а) материалы -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предметы, используемые в деятельности Учреждения в течение периода, не превышающего 12 месяцев, независимо от их стоимости;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б) иные материальные запасы, в том числе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предметы, используемые в деятельности Учреждения в течение периода, превышающего 12 месяцев, но не относящиеся к основным средствам в соответствии с классификацией ОКОФ,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материальные ценности, являющиеся материальными запасами в соответствии с нормативными правовыми актами, регулирующими ведение бухгалтерского учета и составление бухгалтерской (финансовой) отчетности (далее - прочие материальные запасы).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Принятие к бухгалтерскому учету материальных запасов, используемых более 12 месяцев, осуществляется Единой комиссией с определением срока их полезного использования. 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Единицей бухгалтерского учета материальных запасов является номенклатурная (реестровая) единица (тонна, килограмм, штука, пачка, метр и т.п.).  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Основание: п.8 СГС «Запасы».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5.10. Материалы в регистры бухгалтерского учета по приходу записываются по первоначальной стоимости на основании оправдательных документов (актов, накладных и т. п.), в которых обязательно должно быть указано от кого поступили материалы, наименование, количество, сумма, дата и роспись лица, ответственного за сохранность объекта имущества и (или) использование его по назначению.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Первоначальная стоимость запасов, в которой они приняты к бухгалтерскому учету, не подлежит изменению.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Основание: п. п. 11, 13, 17 СГС «Запасы».  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5.11. Объект учета операционной аренды - право пользования активом отражается в составе нефинансовых активов как самостоятельный объект бухгалтерского учета.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Объект учета операционной аренды - право пользования активом, принятый к бухгалтерскому учету, амортизируется в течение срока пользования имуществом, установленного договором, методом, применяемым для амортизации объектов основных средств, аналогичных полученному в пользование имуществу.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Начисление амортизации (признание текущих расходов в сумме начисленной амортизации) осуществляется ежемесячно в сумме арендных платежей, причитающихся к уплате.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Основание: п. 20, 21 СГС «Аренда».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F91D3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6. Учет финансовых активов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6.1.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К финансовым активам Учреждения относятся денежные средства на лицевых счетах, в кассе, денежные документы, а также все виды дебиторской задолженности в расчетах с дебиторами по доходам, по выданным авансам, с подотчетными лицами и по недостачам.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b/>
          <w:sz w:val="28"/>
          <w:szCs w:val="28"/>
          <w:lang w:eastAsia="ru-RU"/>
        </w:rPr>
        <w:t>7. Расчеты с подотчетными лицами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7.1. Расчеты с подотчетными лицами осуществляются в наличной форме через кассу ГАУ СО «ЦБИ», либо в безналичной форме путем зачисления денежных средств на пластиковую карту подотчетного лица.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7.2. Сумма средств, выданных подотчет на хозяйственные и иные расходы, не может превышать лимит расчетов наличными денежными средствами между юридическими лицами, установленный Банком России.</w:t>
      </w:r>
    </w:p>
    <w:p w:rsidR="00F91D3F" w:rsidRPr="00F91D3F" w:rsidRDefault="00F91D3F" w:rsidP="00F91D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Основание: п.6 указания Банка России от 7 октября </w:t>
      </w:r>
      <w:smartTag w:uri="urn:schemas-microsoft-com:office:smarttags" w:element="metricconverter">
        <w:smartTagPr>
          <w:attr w:name="ProductID" w:val="2013 г"/>
        </w:smartTagPr>
        <w:r w:rsidRPr="00F91D3F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2013 г</w:t>
        </w:r>
      </w:smartTag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. № 3073-У.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F91D3F">
        <w:rPr>
          <w:rFonts w:ascii="PT Astra Serif" w:hAnsi="PT Astra Serif" w:cs="Times New Roman"/>
          <w:sz w:val="28"/>
          <w:szCs w:val="28"/>
          <w:lang w:eastAsia="ru-RU"/>
        </w:rPr>
        <w:t xml:space="preserve">7.3. Максимальный срок выдачи денежных средств под отчет на хозяйственные и иные расходы составляет 30 дней с момента выдачи.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F91D3F">
        <w:rPr>
          <w:rFonts w:ascii="PT Astra Serif" w:hAnsi="PT Astra Serif" w:cs="Times New Roman"/>
          <w:sz w:val="28"/>
          <w:szCs w:val="28"/>
          <w:lang w:eastAsia="ru-RU"/>
        </w:rPr>
        <w:t xml:space="preserve">Срок выдачи денежных средств на командировочные расходы определяется сроком командировки.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 xml:space="preserve">За полученные денежные средства на расходы, необходимые для хозяйственной деятельности учреждения, работник - подотчетное лицо должен отчитаться в течение трех рабочих дней: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- после окончания периода, на который были получены средства;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</w:rPr>
        <w:t>- после выхода на работу, если срок истек за время его уважительного отсутствия - болезни, отпуска и т. д.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Основание: </w:t>
      </w: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п. 6.3. указаний Центробанка от 11.03.2014 </w:t>
      </w:r>
      <w:hyperlink r:id="rId33" w:tgtFrame="_blank" w:history="1">
        <w:r w:rsidRPr="00F91D3F">
          <w:rPr>
            <w:rFonts w:ascii="PT Astra Serif" w:eastAsia="Times New Roman" w:hAnsi="PT Astra Serif" w:cs="Times New Roman"/>
            <w:sz w:val="28"/>
            <w:szCs w:val="28"/>
          </w:rPr>
          <w:t>№ 3210-У</w:t>
        </w:r>
      </w:hyperlink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«О </w:t>
      </w: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</w:rPr>
        <w:t>порядке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ведения кассовых операций 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</w:rPr>
        <w:t>юрлицами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 и упрощенном порядке ведения кассовых операций ИП и субъектами малого предпринимательства».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91D3F">
        <w:rPr>
          <w:rFonts w:ascii="PT Astra Serif" w:hAnsi="PT Astra Serif" w:cs="Times New Roman"/>
          <w:sz w:val="28"/>
          <w:szCs w:val="28"/>
          <w:lang w:eastAsia="ru-RU"/>
        </w:rPr>
        <w:t xml:space="preserve">Отчетность по командировочным расходам должна быть представлена по </w:t>
      </w:r>
      <w:proofErr w:type="gramStart"/>
      <w:r w:rsidRPr="00F91D3F">
        <w:rPr>
          <w:rFonts w:ascii="PT Astra Serif" w:hAnsi="PT Astra Serif" w:cs="Times New Roman"/>
          <w:sz w:val="28"/>
          <w:szCs w:val="28"/>
          <w:lang w:eastAsia="ru-RU"/>
        </w:rPr>
        <w:t>истечении</w:t>
      </w:r>
      <w:proofErr w:type="gramEnd"/>
      <w:r w:rsidRPr="00F91D3F">
        <w:rPr>
          <w:rFonts w:ascii="PT Astra Serif" w:hAnsi="PT Astra Serif" w:cs="Times New Roman"/>
          <w:sz w:val="28"/>
          <w:szCs w:val="28"/>
          <w:lang w:eastAsia="ru-RU"/>
        </w:rPr>
        <w:t xml:space="preserve"> трех рабочих дней после прибытия работника из командировки.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hAnsi="PT Astra Serif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8. У</w:t>
      </w:r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>чет обязательств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8.1.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Учреждение осуществляет расходы в пределах утвержденного Плана финансово-хозяйственной деятельности (далее - План ФХД) на текущий финансовый год по фактическому доходу.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Изменения в План ФХД вносятся при изменении показателей доходов и расходов Учреждения.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8.2. Учет принятых обязательств и принятых денежных обязательств ведется в соответствии с рабочим планом счетов на основании документов, подтверждающих принятие к учету товаров, работ, услуг либо перечисление (выплату) денежных сре</w:t>
      </w:r>
      <w:proofErr w:type="gramStart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дств в с</w:t>
      </w:r>
      <w:proofErr w:type="gramEnd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оответствии с условиями договоров, согласно утвержденных авансовых отчетов, ведомостей начислений, налоговых деклараций.</w:t>
      </w:r>
    </w:p>
    <w:p w:rsidR="00F91D3F" w:rsidRPr="00F91D3F" w:rsidRDefault="00F91D3F" w:rsidP="00F91D3F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91D3F" w:rsidRPr="00F91D3F" w:rsidRDefault="00F91D3F" w:rsidP="00F91D3F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F91D3F">
        <w:rPr>
          <w:rFonts w:ascii="PT Astra Serif" w:hAnsi="PT Astra Serif"/>
          <w:b/>
          <w:bCs/>
          <w:sz w:val="28"/>
          <w:szCs w:val="28"/>
        </w:rPr>
        <w:t>9. Учет расчетов с учредителем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9.1. Для расчетов с учредителем введен счет 0.210.06.000 «Расчеты с учредителем».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Основание: </w:t>
      </w:r>
      <w:hyperlink r:id="rId34" w:tooltip="Приказ Минфина России от 01.12.2010 N 157н (ред. от 06.08.2015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F91D3F">
          <w:rPr>
            <w:rFonts w:ascii="PT Astra Serif" w:eastAsia="Times New Roman" w:hAnsi="PT Astra Serif" w:cs="Times New Roman"/>
            <w:iCs/>
            <w:sz w:val="28"/>
            <w:szCs w:val="28"/>
            <w:lang w:eastAsia="ru-RU"/>
          </w:rPr>
          <w:t>п.6</w:t>
        </w:r>
      </w:hyperlink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 Инструкции №157н.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9.2. Изменение показателей, отраженных на счете </w:t>
      </w:r>
      <w:r w:rsidRPr="00F91D3F">
        <w:rPr>
          <w:rFonts w:ascii="PT Astra Serif" w:eastAsia="Times New Roman" w:hAnsi="PT Astra Serif" w:cs="Arial"/>
          <w:sz w:val="28"/>
          <w:szCs w:val="28"/>
          <w:lang w:eastAsia="ru-RU"/>
        </w:rPr>
        <w:t>0.210.06.000 «Расчеты с учредителем»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производится в последний рабочий день года в порядке, приведенном в </w:t>
      </w:r>
      <w:hyperlink r:id="rId35" w:tooltip="&lt;Письмо&gt; Минфина России от 18.09.2012 N 02-06-07/3798 &lt;Об отражении в бухгалтерском учете и бухгалтерской отчетности бюджетных, автономных учреждений, а также в бюджетном учете и бюджетной отчетности органов, осуществляющих функции и полномочия учредителя учре" w:history="1">
        <w:r w:rsidRPr="00F91D3F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Письме</w:t>
        </w:r>
      </w:hyperlink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Минфина России от 18.09.2012 № 02-06-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07/3798.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На сумму изменений Учреждением составляется и направляется министерству финансов Саратовской области Извещение </w:t>
      </w:r>
      <w:hyperlink r:id="rId36" w:tooltip="Приказ Минфина России от 30.03.2015 N 52н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" w:history="1">
        <w:r w:rsidRPr="00F91D3F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(ф. 0504805)</w:t>
        </w:r>
      </w:hyperlink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F91D3F" w:rsidRPr="00F91D3F" w:rsidRDefault="00F91D3F" w:rsidP="00F91D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Основание: </w:t>
      </w:r>
      <w:hyperlink r:id="rId37" w:tooltip="Приказ Минфина России от 01.12.2010 N 157н (ред. от 06.08.2015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<w:r w:rsidRPr="00F91D3F">
          <w:rPr>
            <w:rFonts w:ascii="PT Astra Serif" w:eastAsia="Times New Roman" w:hAnsi="PT Astra Serif" w:cs="Times New Roman"/>
            <w:iCs/>
            <w:sz w:val="28"/>
            <w:szCs w:val="28"/>
            <w:lang w:eastAsia="ru-RU"/>
          </w:rPr>
          <w:t>п. 6</w:t>
        </w:r>
      </w:hyperlink>
      <w:r w:rsidRPr="00F91D3F">
        <w:rPr>
          <w:rFonts w:ascii="PT Astra Serif" w:eastAsia="Times New Roman" w:hAnsi="PT Astra Serif" w:cs="Times New Roman"/>
          <w:iCs/>
          <w:sz w:val="28"/>
          <w:szCs w:val="28"/>
          <w:lang w:eastAsia="ru-RU"/>
        </w:rPr>
        <w:t xml:space="preserve"> Инструкции №157н.</w:t>
      </w:r>
    </w:p>
    <w:p w:rsidR="00F91D3F" w:rsidRPr="00F91D3F" w:rsidRDefault="00F91D3F" w:rsidP="00F91D3F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91D3F" w:rsidRPr="00F91D3F" w:rsidRDefault="00F91D3F" w:rsidP="00F91D3F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F91D3F">
        <w:rPr>
          <w:rFonts w:ascii="PT Astra Serif" w:hAnsi="PT Astra Serif"/>
          <w:b/>
          <w:bCs/>
          <w:sz w:val="28"/>
          <w:szCs w:val="28"/>
        </w:rPr>
        <w:t>10. Учет финансовых результатов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10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.1.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чет доходов и расходов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осуществляется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раздельно по источникам финансового обеспечения с составлением единого баланса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чреждения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color w:val="111111"/>
          <w:sz w:val="28"/>
          <w:szCs w:val="28"/>
        </w:rPr>
        <w:t>10.2.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Доходы в виде субсидии на государственное задание признаются в бухгалтерском учете в момент возникновения права на их получение в составе доходов будущих периодов. По итогу исполнения государственного задания они включаются в доходы текущего отчетного периода.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Основание: </w:t>
      </w:r>
      <w:hyperlink r:id="rId38" w:history="1"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54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СГС «Доходы», </w:t>
      </w:r>
      <w:hyperlink r:id="rId39" w:history="1"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186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Инструкции № 183н.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111111"/>
          <w:sz w:val="28"/>
          <w:szCs w:val="28"/>
        </w:rPr>
        <w:t xml:space="preserve">10.3.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Доходы в виде субсидии на иные цели признаются в бухгалтерском учете в момент возникновения права на их получение в составе доходов будущих периодов. Н</w:t>
      </w:r>
      <w:r w:rsidRPr="00F91D3F">
        <w:rPr>
          <w:rFonts w:ascii="PT Astra Serif" w:eastAsia="Times New Roman" w:hAnsi="PT Astra Serif" w:cs="Times New Roman"/>
          <w:color w:val="111111"/>
          <w:sz w:val="28"/>
          <w:szCs w:val="28"/>
        </w:rPr>
        <w:t xml:space="preserve">а дату принятия учредителем отчета об использовании средств соответствующей субсидии они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включаются в доходы текущего отчетного периода.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Основание: </w:t>
      </w:r>
      <w:hyperlink r:id="rId40" w:history="1"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 4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0 СГС «Доходы», </w:t>
      </w:r>
      <w:hyperlink r:id="rId41" w:history="1">
        <w:proofErr w:type="spellStart"/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п.п</w:t>
        </w:r>
        <w:proofErr w:type="spellEnd"/>
        <w:r w:rsidRPr="00F91D3F">
          <w:rPr>
            <w:rFonts w:ascii="PT Astra Serif" w:eastAsia="Calibri" w:hAnsi="PT Astra Serif" w:cs="Times New Roman"/>
            <w:sz w:val="28"/>
            <w:szCs w:val="28"/>
            <w:lang w:eastAsia="ru-RU"/>
          </w:rPr>
          <w:t>. 96, 178</w:t>
        </w:r>
      </w:hyperlink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Инструкции № 183н.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111111"/>
          <w:sz w:val="28"/>
          <w:szCs w:val="28"/>
        </w:rPr>
        <w:t>10.4. Начисление дохода от оказания платных услуг производится ежемесячно (на последнее число месяца).</w:t>
      </w:r>
    </w:p>
    <w:p w:rsidR="00F91D3F" w:rsidRPr="00F91D3F" w:rsidRDefault="00F91D3F" w:rsidP="00F91D3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10.5. Доходы от предоставления права пользования активом (арендная плата) признаются доходами текущего финансового года с одновременным уменьшением предстоящих доходов равномерно (ежемесячно) на протяжении срока пользования объектом учета аренды. </w:t>
      </w:r>
    </w:p>
    <w:p w:rsidR="00F91D3F" w:rsidRPr="00F91D3F" w:rsidRDefault="00F91D3F" w:rsidP="00F91D3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Основание: п. 25 СГС «Аренда».</w:t>
      </w:r>
    </w:p>
    <w:p w:rsidR="00F91D3F" w:rsidRPr="00F91D3F" w:rsidRDefault="00F91D3F" w:rsidP="00F91D3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10.6. Сформированная себестоимость выполненных работ, оказанных услуг отражается на соответствующих счетах финансового результата текущего финансового года в уменьшение дохода</w:t>
      </w:r>
      <w:bookmarkStart w:id="10" w:name="_GoBack"/>
      <w:bookmarkEnd w:id="10"/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 от оказания услуг (выполнения работ) в последний день календарного года.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 xml:space="preserve">Основание: </w:t>
      </w:r>
      <w:r w:rsidRPr="00F91D3F">
        <w:rPr>
          <w:rFonts w:ascii="PT Astra Serif" w:eastAsia="Times New Roman" w:hAnsi="PT Astra Serif" w:cs="Times New Roman"/>
          <w:iCs/>
          <w:sz w:val="28"/>
          <w:szCs w:val="28"/>
        </w:rPr>
        <w:t xml:space="preserve">п. 296 </w:t>
      </w:r>
      <w:r w:rsidRPr="00F91D3F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>Инструкции №157н.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>10.7. Учреждением как расходы будущих периодов формируется резерв на оплату отпусков по состоянию на последний день текущего финансового года индивидуально по каждому работнику.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Среднедневной заработок сотрудника исчисляется по правилам расчета среднего заработка для оплаты отпусков на дату вычисления резерва</w:t>
      </w:r>
      <w:r w:rsidRPr="00F91D3F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>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Резерв формируется в разрезе КОСГУ.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В случае принятия решения о списании какого-либо резерва на оплату отпусков этот факт хозяйственной жизни оформляется способом «</w:t>
      </w: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Красное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сторно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».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iCs/>
          <w:color w:val="111111"/>
          <w:sz w:val="28"/>
          <w:szCs w:val="28"/>
        </w:rPr>
        <w:t xml:space="preserve">Основание: </w:t>
      </w:r>
      <w:hyperlink r:id="rId42" w:tgtFrame="_blank" w:history="1">
        <w:proofErr w:type="gramStart"/>
        <w:r w:rsidRPr="00F91D3F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письм</w:t>
        </w:r>
      </w:hyperlink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Минфина России от 20.05.2015 № 02-07-07/28998.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111111"/>
          <w:sz w:val="28"/>
          <w:szCs w:val="28"/>
        </w:rPr>
        <w:lastRenderedPageBreak/>
        <w:t>10.8. Формирование иных резервов при ведении в Учреждении бухгалтерского учета не предусмотрено.</w:t>
      </w:r>
    </w:p>
    <w:p w:rsidR="00F91D3F" w:rsidRPr="00F91D3F" w:rsidRDefault="00F91D3F" w:rsidP="00F91D3F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111111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color w:val="111111"/>
          <w:sz w:val="28"/>
          <w:szCs w:val="28"/>
        </w:rPr>
        <w:t>10.9. Расходы будущих периодов списываются на финансовый результат отчетного финансового года равномерно в течение периода, к которому они относятся.</w:t>
      </w:r>
    </w:p>
    <w:p w:rsidR="00F91D3F" w:rsidRPr="00F91D3F" w:rsidRDefault="00F91D3F" w:rsidP="00F91D3F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91D3F" w:rsidRPr="00F91D3F" w:rsidRDefault="00F91D3F" w:rsidP="00F91D3F">
      <w:pPr>
        <w:pStyle w:val="Oaen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F91D3F">
        <w:rPr>
          <w:rFonts w:ascii="PT Astra Serif" w:hAnsi="PT Astra Serif"/>
          <w:b/>
          <w:bCs/>
          <w:sz w:val="28"/>
          <w:szCs w:val="28"/>
        </w:rPr>
        <w:t>11. Санкционирование расходов.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eastAsia="Times New Roman" w:hAnsi="PT Astra Serif" w:cs="Times New Roman"/>
          <w:sz w:val="28"/>
          <w:szCs w:val="28"/>
          <w:u w:val="single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u w:val="single"/>
        </w:rPr>
        <w:t>Выдержка.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 xml:space="preserve">11.1. Основанием для отражения в бухгалтерском учете Учреждения операций по санкционированию расходов, являются утвержденные Планы финансово-хозяйственной деятельности. </w:t>
      </w:r>
    </w:p>
    <w:p w:rsidR="00F91D3F" w:rsidRPr="00F91D3F" w:rsidRDefault="00F91D3F" w:rsidP="00F91D3F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</w:rPr>
      </w:pPr>
      <w:r w:rsidRPr="00F91D3F">
        <w:rPr>
          <w:rFonts w:ascii="PT Astra Serif" w:eastAsia="Times New Roman" w:hAnsi="PT Astra Serif" w:cs="Times New Roman"/>
          <w:sz w:val="28"/>
          <w:szCs w:val="28"/>
        </w:rPr>
        <w:t>11.2. В бухгалтерском учете предусмотрено отражение принимаемых и отложенных обязательств.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12</w:t>
      </w:r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 xml:space="preserve">. </w:t>
      </w:r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Ф</w:t>
      </w:r>
      <w:proofErr w:type="spellStart"/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>ормирован</w:t>
      </w:r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ие</w:t>
      </w:r>
      <w:proofErr w:type="spellEnd"/>
      <w:r w:rsidRPr="00F91D3F">
        <w:rPr>
          <w:rFonts w:ascii="PT Astra Serif" w:eastAsia="Times New Roman" w:hAnsi="PT Astra Serif" w:cs="Times New Roman"/>
          <w:b/>
          <w:bCs/>
          <w:sz w:val="28"/>
          <w:szCs w:val="28"/>
          <w:lang w:val="x-none" w:eastAsia="ru-RU"/>
        </w:rPr>
        <w:t xml:space="preserve"> бухгалтерской отчетности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12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.1. </w:t>
      </w:r>
      <w:r w:rsidRPr="00F91D3F">
        <w:rPr>
          <w:rFonts w:ascii="PT Astra Serif" w:eastAsia="Calibri" w:hAnsi="PT Astra Serif" w:cs="Times New Roman"/>
          <w:sz w:val="28"/>
          <w:szCs w:val="28"/>
          <w:lang w:val="x-none" w:eastAsia="ru-RU"/>
        </w:rPr>
        <w:t xml:space="preserve">Бухгалтерская отчётность составляется на основании аналитического и синтетического учета по формам, в объеме и в сроки, установленные 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министерством финансов Саратовской области (</w:t>
      </w:r>
      <w:r w:rsidRPr="00F91D3F">
        <w:rPr>
          <w:rFonts w:ascii="PT Astra Serif" w:eastAsia="Calibri" w:hAnsi="PT Astra Serif" w:cs="Times New Roman"/>
          <w:sz w:val="28"/>
          <w:szCs w:val="28"/>
          <w:lang w:val="x-none" w:eastAsia="ru-RU"/>
        </w:rPr>
        <w:t>учредителем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>),</w:t>
      </w:r>
      <w:r w:rsidRPr="00F91D3F">
        <w:rPr>
          <w:rFonts w:ascii="PT Astra Serif" w:eastAsia="Calibri" w:hAnsi="PT Astra Serif" w:cs="Times New Roman"/>
          <w:sz w:val="28"/>
          <w:szCs w:val="28"/>
          <w:lang w:val="x-none" w:eastAsia="ru-RU"/>
        </w:rPr>
        <w:t xml:space="preserve"> Инструкцией о порядке составления, представления годовой квартальной отчетности государственных (муниципальных) бюджетных и автономных учреждений (Приказ Минфина России от 25.03.2011 № 33н)</w:t>
      </w:r>
      <w:r w:rsidRPr="00F91D3F">
        <w:rPr>
          <w:rFonts w:ascii="PT Astra Serif" w:eastAsia="Calibri" w:hAnsi="PT Astra Serif" w:cs="Times New Roman"/>
          <w:sz w:val="28"/>
          <w:szCs w:val="28"/>
          <w:lang w:eastAsia="ru-RU"/>
        </w:rPr>
        <w:t xml:space="preserve">, СГС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«Предоставление отчетности»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СГС «Бюджетная информация»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12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.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С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роки представления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отчетности: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- в министерство финансов Саратовской области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в соответствии с приказом учредителя; 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в органы Федеральной налоговой службы: квартальных, годовых – в соответствии с Налоговым кодексом Российской Федерации;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в органы государственного статистического наблюдения - в соответствии с установленными сроками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в ПФР и ФСС - 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в соответствии с установленными сроками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12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Бухгалтерская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отчетность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формируется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на бумажном носителе и в электронном виде, после утверждения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директором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чреждения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в установленные сроки с использованием электронных сре</w:t>
      </w:r>
      <w:proofErr w:type="gramStart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дств св</w:t>
      </w:r>
      <w:proofErr w:type="gramEnd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язи и передачи информации.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13. Внутренний финансовый контроль.</w:t>
      </w:r>
    </w:p>
    <w:p w:rsidR="00F91D3F" w:rsidRPr="00F91D3F" w:rsidRDefault="00F91D3F" w:rsidP="00F91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bCs/>
          <w:sz w:val="28"/>
          <w:szCs w:val="28"/>
          <w:lang w:eastAsia="ru-RU"/>
        </w:rPr>
      </w:pPr>
      <w:r w:rsidRPr="00F91D3F">
        <w:rPr>
          <w:rFonts w:ascii="PT Astra Serif" w:eastAsia="Calibri" w:hAnsi="PT Astra Serif" w:cs="Times New Roman"/>
          <w:bCs/>
          <w:sz w:val="28"/>
          <w:szCs w:val="28"/>
          <w:lang w:eastAsia="ru-RU"/>
        </w:rPr>
        <w:t xml:space="preserve">13.1. Внутренний финансовый контроль в Учреждении организуется в соответствии с Положением о внутреннем финансовом контроле (приложение №8 к Учетной политике). 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F91D3F" w:rsidRPr="00F91D3F" w:rsidRDefault="00F91D3F" w:rsidP="00F91D3F">
      <w:pPr>
        <w:widowControl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91D3F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14. Изменения учетной политики.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14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.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1.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Изменения в настоящий приказ об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четной политике в части организации бухгалтерского учета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У</w:t>
      </w:r>
      <w:proofErr w:type="spellStart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чреждения</w:t>
      </w:r>
      <w:proofErr w:type="spellEnd"/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вносить в случаях: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изменения законодательного регулирования деятельности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lastRenderedPageBreak/>
        <w:t>бюджетного учреждения, изменения законодательства о бухгалтерском учете;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существенного изменения условий деятельности </w:t>
      </w: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>автономного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 xml:space="preserve"> учреждения, включая реорганизацию, изменение вида деятельности;</w:t>
      </w:r>
    </w:p>
    <w:p w:rsidR="00F91D3F" w:rsidRPr="00F91D3F" w:rsidRDefault="00F91D3F" w:rsidP="00F91D3F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val="x-none" w:eastAsia="ru-RU"/>
        </w:rPr>
      </w:pPr>
      <w:r w:rsidRPr="00F91D3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- </w:t>
      </w:r>
      <w:r w:rsidRPr="00F91D3F">
        <w:rPr>
          <w:rFonts w:ascii="PT Astra Serif" w:eastAsia="Times New Roman" w:hAnsi="PT Astra Serif" w:cs="Times New Roman"/>
          <w:sz w:val="28"/>
          <w:szCs w:val="28"/>
          <w:lang w:val="x-none" w:eastAsia="ru-RU"/>
        </w:rPr>
        <w:t>изменения методов и принципов бухгалтерского учета.</w:t>
      </w:r>
    </w:p>
    <w:p w:rsidR="00EF0F48" w:rsidRPr="00F91D3F" w:rsidRDefault="00EF0F48" w:rsidP="00F91D3F">
      <w:pPr>
        <w:rPr>
          <w:rFonts w:ascii="PT Astra Serif" w:hAnsi="PT Astra Serif"/>
          <w:lang w:val="x-none"/>
        </w:rPr>
      </w:pPr>
    </w:p>
    <w:sectPr w:rsidR="00EF0F48" w:rsidRPr="00F91D3F" w:rsidSect="0010068D">
      <w:footerReference w:type="default" r:id="rId4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4B" w:rsidRDefault="006B004B" w:rsidP="0044272E">
      <w:pPr>
        <w:spacing w:after="0" w:line="240" w:lineRule="auto"/>
      </w:pPr>
      <w:r>
        <w:separator/>
      </w:r>
    </w:p>
  </w:endnote>
  <w:endnote w:type="continuationSeparator" w:id="0">
    <w:p w:rsidR="006B004B" w:rsidRDefault="006B004B" w:rsidP="00442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242694"/>
      <w:docPartObj>
        <w:docPartGallery w:val="Page Numbers (Bottom of Page)"/>
        <w:docPartUnique/>
      </w:docPartObj>
    </w:sdtPr>
    <w:sdtEndPr/>
    <w:sdtContent>
      <w:p w:rsidR="0044272E" w:rsidRDefault="004427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1D3F">
          <w:rPr>
            <w:noProof/>
          </w:rPr>
          <w:t>3</w:t>
        </w:r>
        <w:r>
          <w:fldChar w:fldCharType="end"/>
        </w:r>
      </w:p>
    </w:sdtContent>
  </w:sdt>
  <w:p w:rsidR="0044272E" w:rsidRDefault="004427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4B" w:rsidRDefault="006B004B" w:rsidP="0044272E">
      <w:pPr>
        <w:spacing w:after="0" w:line="240" w:lineRule="auto"/>
      </w:pPr>
      <w:r>
        <w:separator/>
      </w:r>
    </w:p>
  </w:footnote>
  <w:footnote w:type="continuationSeparator" w:id="0">
    <w:p w:rsidR="006B004B" w:rsidRDefault="006B004B" w:rsidP="00442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C7CC8"/>
    <w:multiLevelType w:val="hybridMultilevel"/>
    <w:tmpl w:val="E638B6B2"/>
    <w:lvl w:ilvl="0" w:tplc="CC4ACD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8F4"/>
    <w:rsid w:val="00010C4E"/>
    <w:rsid w:val="0002782C"/>
    <w:rsid w:val="000763F0"/>
    <w:rsid w:val="000F2307"/>
    <w:rsid w:val="0010068D"/>
    <w:rsid w:val="00105723"/>
    <w:rsid w:val="00120EDF"/>
    <w:rsid w:val="00121CBC"/>
    <w:rsid w:val="002565C6"/>
    <w:rsid w:val="002739F3"/>
    <w:rsid w:val="003230EF"/>
    <w:rsid w:val="0034382B"/>
    <w:rsid w:val="00364992"/>
    <w:rsid w:val="003752F5"/>
    <w:rsid w:val="0038202E"/>
    <w:rsid w:val="003829B4"/>
    <w:rsid w:val="003A4EC3"/>
    <w:rsid w:val="003E5412"/>
    <w:rsid w:val="00441EF3"/>
    <w:rsid w:val="0044272E"/>
    <w:rsid w:val="004F5354"/>
    <w:rsid w:val="005145B6"/>
    <w:rsid w:val="00520B56"/>
    <w:rsid w:val="0054163C"/>
    <w:rsid w:val="005431D8"/>
    <w:rsid w:val="00561458"/>
    <w:rsid w:val="00572816"/>
    <w:rsid w:val="005738F4"/>
    <w:rsid w:val="00592118"/>
    <w:rsid w:val="0059445C"/>
    <w:rsid w:val="005E15C9"/>
    <w:rsid w:val="00686770"/>
    <w:rsid w:val="006A0E9B"/>
    <w:rsid w:val="006B004B"/>
    <w:rsid w:val="006B0B18"/>
    <w:rsid w:val="0077083C"/>
    <w:rsid w:val="007C1C27"/>
    <w:rsid w:val="007E69F8"/>
    <w:rsid w:val="00811DDA"/>
    <w:rsid w:val="008163C5"/>
    <w:rsid w:val="00832C06"/>
    <w:rsid w:val="008B734B"/>
    <w:rsid w:val="008D0EFF"/>
    <w:rsid w:val="009235D9"/>
    <w:rsid w:val="00956B69"/>
    <w:rsid w:val="00970B39"/>
    <w:rsid w:val="00982D91"/>
    <w:rsid w:val="009D5A1D"/>
    <w:rsid w:val="009E0F64"/>
    <w:rsid w:val="00A405B7"/>
    <w:rsid w:val="00A472B4"/>
    <w:rsid w:val="00A8041B"/>
    <w:rsid w:val="00A93306"/>
    <w:rsid w:val="00AD3591"/>
    <w:rsid w:val="00AE1878"/>
    <w:rsid w:val="00B02C36"/>
    <w:rsid w:val="00B31B79"/>
    <w:rsid w:val="00B446EF"/>
    <w:rsid w:val="00B82206"/>
    <w:rsid w:val="00B93589"/>
    <w:rsid w:val="00BA04A8"/>
    <w:rsid w:val="00BD0528"/>
    <w:rsid w:val="00C31C7A"/>
    <w:rsid w:val="00C63357"/>
    <w:rsid w:val="00CE5BEE"/>
    <w:rsid w:val="00CF7D48"/>
    <w:rsid w:val="00D25DD5"/>
    <w:rsid w:val="00D41953"/>
    <w:rsid w:val="00D47188"/>
    <w:rsid w:val="00D84BC7"/>
    <w:rsid w:val="00DA3AC8"/>
    <w:rsid w:val="00DF2551"/>
    <w:rsid w:val="00E03843"/>
    <w:rsid w:val="00E106DC"/>
    <w:rsid w:val="00E179BB"/>
    <w:rsid w:val="00E27883"/>
    <w:rsid w:val="00EF0F48"/>
    <w:rsid w:val="00EF3CA2"/>
    <w:rsid w:val="00F91D3F"/>
    <w:rsid w:val="00FD1CBB"/>
    <w:rsid w:val="00FF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0068D"/>
    <w:pPr>
      <w:keepNext/>
      <w:framePr w:w="4400" w:h="1297" w:hRule="exact" w:hSpace="181" w:wrap="notBeside" w:vAnchor="text" w:hAnchor="page" w:x="1745" w:y="4248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0F64"/>
    <w:rPr>
      <w:i/>
      <w:iCs/>
    </w:rPr>
  </w:style>
  <w:style w:type="paragraph" w:styleId="a5">
    <w:name w:val="List Paragraph"/>
    <w:basedOn w:val="a"/>
    <w:uiPriority w:val="34"/>
    <w:qFormat/>
    <w:rsid w:val="00121CBC"/>
    <w:pPr>
      <w:ind w:left="720"/>
      <w:contextualSpacing/>
    </w:pPr>
  </w:style>
  <w:style w:type="paragraph" w:customStyle="1" w:styleId="western">
    <w:name w:val="western"/>
    <w:basedOn w:val="a"/>
    <w:rsid w:val="0025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D0EFF"/>
    <w:rPr>
      <w:color w:val="0000FF"/>
      <w:u w:val="single"/>
    </w:rPr>
  </w:style>
  <w:style w:type="paragraph" w:customStyle="1" w:styleId="Oaeno">
    <w:name w:val="Oaeno"/>
    <w:basedOn w:val="a"/>
    <w:rsid w:val="00E0384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72E"/>
  </w:style>
  <w:style w:type="paragraph" w:styleId="a9">
    <w:name w:val="footer"/>
    <w:basedOn w:val="a"/>
    <w:link w:val="aa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72E"/>
  </w:style>
  <w:style w:type="character" w:customStyle="1" w:styleId="20">
    <w:name w:val="Заголовок 2 Знак"/>
    <w:basedOn w:val="a0"/>
    <w:link w:val="2"/>
    <w:rsid w:val="0010068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0068D"/>
    <w:pPr>
      <w:keepNext/>
      <w:framePr w:w="4400" w:h="1297" w:hRule="exact" w:hSpace="181" w:wrap="notBeside" w:vAnchor="text" w:hAnchor="page" w:x="1745" w:y="4248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0F64"/>
    <w:rPr>
      <w:i/>
      <w:iCs/>
    </w:rPr>
  </w:style>
  <w:style w:type="paragraph" w:styleId="a5">
    <w:name w:val="List Paragraph"/>
    <w:basedOn w:val="a"/>
    <w:uiPriority w:val="34"/>
    <w:qFormat/>
    <w:rsid w:val="00121CBC"/>
    <w:pPr>
      <w:ind w:left="720"/>
      <w:contextualSpacing/>
    </w:pPr>
  </w:style>
  <w:style w:type="paragraph" w:customStyle="1" w:styleId="western">
    <w:name w:val="western"/>
    <w:basedOn w:val="a"/>
    <w:rsid w:val="00256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8D0EFF"/>
    <w:rPr>
      <w:color w:val="0000FF"/>
      <w:u w:val="single"/>
    </w:rPr>
  </w:style>
  <w:style w:type="paragraph" w:customStyle="1" w:styleId="Oaeno">
    <w:name w:val="Oaeno"/>
    <w:basedOn w:val="a"/>
    <w:rsid w:val="00E0384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4272E"/>
  </w:style>
  <w:style w:type="paragraph" w:styleId="a9">
    <w:name w:val="footer"/>
    <w:basedOn w:val="a"/>
    <w:link w:val="aa"/>
    <w:uiPriority w:val="99"/>
    <w:unhideWhenUsed/>
    <w:rsid w:val="004427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4272E"/>
  </w:style>
  <w:style w:type="character" w:customStyle="1" w:styleId="20">
    <w:name w:val="Заголовок 2 Знак"/>
    <w:basedOn w:val="a0"/>
    <w:link w:val="2"/>
    <w:rsid w:val="0010068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64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3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8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6" Type="http://schemas.openxmlformats.org/officeDocument/2006/relationships/hyperlink" Target="http://login.consultant.ru/link/?req=doc&amp;base=LAW&amp;n=364484&amp;date=26.01.2023&amp;dst=102132&amp;field=134" TargetMode="External"/><Relationship Id="rId39" Type="http://schemas.openxmlformats.org/officeDocument/2006/relationships/hyperlink" Target="consultantplus://offline/ref=2B0FB6D71D07CDD6D2FB5098486AAD4563EB051BBAC556006676C1DE9EDA5D4053716CED26421F80091184BE5C16016E8BD9A534EF04dCC1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2B10AF925BEB5085D670642B98B70A3395DD36D1D22F8AE38C15D40996E75532ABE35B357C980489F06072733FCFE9197B0D17D99586D1EBC3DEN" TargetMode="External"/><Relationship Id="rId34" Type="http://schemas.openxmlformats.org/officeDocument/2006/relationships/hyperlink" Target="consultantplus://offline/ref=B79D8FBBA4384B1FEBD9DE7C435D24E64040ADF71A4B514B3A531232F480FF50AFCE41CC6A4D05C7M7dDG" TargetMode="External"/><Relationship Id="rId42" Type="http://schemas.openxmlformats.org/officeDocument/2006/relationships/hyperlink" Target="http://base.garant.ru/71031648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7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5" Type="http://schemas.openxmlformats.org/officeDocument/2006/relationships/hyperlink" Target="http://login.consultant.ru/link/?req=doc&amp;base=LAW&amp;n=362262&amp;date=26.01.2023&amp;dst=100094&amp;field=134" TargetMode="External"/><Relationship Id="rId33" Type="http://schemas.openxmlformats.org/officeDocument/2006/relationships/hyperlink" Target="https://nalog-nalog.ru/away2.php?req=doc&amp;base=LAW&amp;n=222242&amp;dst=100003&amp;date=19.06.2020&amp;demo=1" TargetMode="External"/><Relationship Id="rId38" Type="http://schemas.openxmlformats.org/officeDocument/2006/relationships/hyperlink" Target="consultantplus://offline/ref=2B0FB6D71D07CDD6D2FB5098486AAD4562E30A19BFCB56006676C1DE9EDA5D4053716CEA2F451688584B94BA15410E7289CFBB3EF107C850d7C6K" TargetMode="External"/><Relationship Id="rId2" Type="http://schemas.openxmlformats.org/officeDocument/2006/relationships/styles" Target="styles.xml"/><Relationship Id="rId16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0" Type="http://schemas.openxmlformats.org/officeDocument/2006/relationships/hyperlink" Target="http://ivo.garant.ru/document/redirect/400766923/0" TargetMode="External"/><Relationship Id="rId29" Type="http://schemas.openxmlformats.org/officeDocument/2006/relationships/hyperlink" Target="consultantplus://offline/ref=66DEA8DB9B476D837A4FFE9D5E5D7DD4C346040B8B217DB907EBCC1E5CD7A9A81FDE557AB4F9E6B03B1CA9849942C5A59684FB4033458446F6x2N" TargetMode="External"/><Relationship Id="rId41" Type="http://schemas.openxmlformats.org/officeDocument/2006/relationships/hyperlink" Target="consultantplus://offline/ref=2B0FB6D71D07CDD6D2FB5098486AAD4563EB051BBAC556006676C1DE9EDA5D4053716CED26421F80091184BE5C16016E8BD9A534EF04dCC1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4" Type="http://schemas.openxmlformats.org/officeDocument/2006/relationships/hyperlink" Target="consultantplus://offline/ref=2B10AF925BEB5085D670642B98B70A3395DD36D1D22F8AE38C15D40996E75532ABE35B357C980489F66072733FCFE9197B0D17D99586D1EBC3DEN" TargetMode="External"/><Relationship Id="rId32" Type="http://schemas.openxmlformats.org/officeDocument/2006/relationships/hyperlink" Target="consultantplus://offline/ref=C5B03FEA7AF48235A3696AF67A7DB9942D87A5D43F5478F61AB78A556BE616238F3BD9AB739CD38CI0XAL" TargetMode="External"/><Relationship Id="rId37" Type="http://schemas.openxmlformats.org/officeDocument/2006/relationships/hyperlink" Target="consultantplus://offline/ref=B79D8FBBA4384B1FEBD9DE7C435D24E64040ADF71A4B514B3A531232F480FF50AFCE41CC6A4D05C7M7dDG" TargetMode="External"/><Relationship Id="rId40" Type="http://schemas.openxmlformats.org/officeDocument/2006/relationships/hyperlink" Target="consultantplus://offline/ref=2B0FB6D71D07CDD6D2FB5098486AAD4562E30A19BFCB56006676C1DE9EDA5D4053716CEA2F451688584B94BA15410E7289CFBB3EF107C850d7C6K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3" Type="http://schemas.openxmlformats.org/officeDocument/2006/relationships/hyperlink" Target="http://ivo.garant.ru/document/redirect/12180849/2011" TargetMode="External"/><Relationship Id="rId28" Type="http://schemas.openxmlformats.org/officeDocument/2006/relationships/hyperlink" Target="consultantplus://offline/ref=66DEA8DB9B476D837A4FFE9D5E5D7DD4C246050B8B2C7DB907EBCC1E5CD7A9A81FDE557AB4FBE6BE3B1CA9849942C5A59684FB4033458446F6x2N" TargetMode="External"/><Relationship Id="rId36" Type="http://schemas.openxmlformats.org/officeDocument/2006/relationships/hyperlink" Target="consultantplus://offline/ref=6B33675CA63C15CDADE48F0650AF65818A46C8FA9DA04A5105F06B44670F23F1492997A6EB826B26h0dBG" TargetMode="External"/><Relationship Id="rId10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9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31" Type="http://schemas.openxmlformats.org/officeDocument/2006/relationships/hyperlink" Target="consultantplus://offline/ref=5DB141350D536D4761F95D54D111AF8088CADEE8386347C4E088ADE0F9FF15287E99632CD81972DBA7884676DEA67FCDBCC7DD73B56A2C40pDz8N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14" Type="http://schemas.openxmlformats.org/officeDocument/2006/relationships/hyperlink" Target="http://hghltd.yandex.net/yandbtm?text=%D1%83%D1%87%D0%B5%D1%82%D0%BD%D0%B0%D1%8F%20%D0%BF%D0%BE%D0%BB%D0%B8%D1%82%D0%B8%D0%BA%D0%B0%20%D0%BE%D1%80%D0%B3%D0%B0%D0%BD%D0%B0%20%D0%BC%D0%B5%D1%81%D1%82%D0%BD%D0%BE%D0%B3%D0%BE%20%D1%81%D0%B0%D0%BC%D0%BE%D1%83%D0%BF%D1%80%D0%B0%D0%B2%D0%BB%D0%B5%D0%BD%D0%B8%D1%8F%20%D0%BD%D0%B0%202012%20%D0%B3%D0%BE%D0%B4&amp;url=http%3A%2F%2Fwww.kolpsite.ru%2Ffiles%2Fnorm_docs_2012%2Frasp_adm%2F01%2Frasp8.doc&amp;fmode=envelope&amp;lr=194&amp;l10n=ru&amp;mime=doc&amp;sign=1d9af2b86bd0235c93e1957d4003d6a9&amp;keyno=0" TargetMode="External"/><Relationship Id="rId22" Type="http://schemas.openxmlformats.org/officeDocument/2006/relationships/hyperlink" Target="http://ivo.garant.ru/document/redirect/71586636/1025" TargetMode="External"/><Relationship Id="rId27" Type="http://schemas.openxmlformats.org/officeDocument/2006/relationships/hyperlink" Target="http://login.consultant.ru/link/?req=doc&amp;base=LAW&amp;n=362627&amp;date=26.01.2023&amp;dst=1874&amp;field=134" TargetMode="External"/><Relationship Id="rId30" Type="http://schemas.openxmlformats.org/officeDocument/2006/relationships/hyperlink" Target="consultantplus://offline/ref=5DB141350D536D4761F95D54D111AF8088CADEE8386347C4E088ADE0F9FF15287E99632CD81972DBA0884676DEA67FCDBCC7DD73B56A2C40pDz8N" TargetMode="External"/><Relationship Id="rId35" Type="http://schemas.openxmlformats.org/officeDocument/2006/relationships/hyperlink" Target="consultantplus://offline/ref=6B33675CA63C15CDADE48F0650AF65818A42CAF89EA14A5105F06B44670F23F1492997A6EB806923h0dCG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10</Pages>
  <Words>4739</Words>
  <Characters>27018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Лобанова Галина Анатольевна</dc:creator>
  <cp:keywords/>
  <dc:description/>
  <cp:lastModifiedBy>Хохлова Анна Юрьевна</cp:lastModifiedBy>
  <cp:revision>9</cp:revision>
  <dcterms:created xsi:type="dcterms:W3CDTF">2020-11-12T06:57:00Z</dcterms:created>
  <dcterms:modified xsi:type="dcterms:W3CDTF">2023-01-12T13:08:00Z</dcterms:modified>
</cp:coreProperties>
</file>