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22" w:rsidRPr="009E1FF0" w:rsidRDefault="00516022" w:rsidP="00516022">
      <w:pPr>
        <w:spacing w:after="0" w:line="240" w:lineRule="atLeast"/>
        <w:ind w:firstLine="709"/>
        <w:jc w:val="right"/>
        <w:rPr>
          <w:rFonts w:ascii="PT Astra Serif" w:hAnsi="PT Astra Serif" w:cs="Times New Roman"/>
          <w:color w:val="000000"/>
          <w:sz w:val="28"/>
          <w:szCs w:val="28"/>
        </w:rPr>
      </w:pPr>
      <w:r w:rsidRPr="009E1FF0">
        <w:rPr>
          <w:rFonts w:ascii="PT Astra Serif" w:hAnsi="PT Astra Serif" w:cs="Times New Roman"/>
          <w:b/>
          <w:color w:val="000000"/>
          <w:sz w:val="28"/>
          <w:szCs w:val="28"/>
        </w:rPr>
        <w:t>Ермакова Елена Алексеевна</w:t>
      </w:r>
      <w:r w:rsidRPr="009E1FF0">
        <w:rPr>
          <w:rFonts w:ascii="PT Astra Serif" w:hAnsi="PT Astra Serif" w:cs="Times New Roman"/>
          <w:color w:val="000000"/>
          <w:sz w:val="28"/>
          <w:szCs w:val="28"/>
        </w:rPr>
        <w:t>,</w:t>
      </w:r>
    </w:p>
    <w:p w:rsidR="00516022" w:rsidRPr="009E1FF0" w:rsidRDefault="00516022" w:rsidP="00516022">
      <w:pPr>
        <w:spacing w:after="0" w:line="240" w:lineRule="atLeast"/>
        <w:ind w:firstLine="709"/>
        <w:jc w:val="right"/>
        <w:rPr>
          <w:rFonts w:ascii="PT Astra Serif" w:hAnsi="PT Astra Serif" w:cs="Times New Roman"/>
          <w:color w:val="000000"/>
          <w:sz w:val="28"/>
          <w:szCs w:val="28"/>
        </w:rPr>
      </w:pPr>
      <w:r w:rsidRPr="009E1FF0">
        <w:rPr>
          <w:rFonts w:ascii="PT Astra Serif" w:hAnsi="PT Astra Serif" w:cs="Times New Roman"/>
          <w:color w:val="000000"/>
          <w:sz w:val="28"/>
          <w:szCs w:val="28"/>
        </w:rPr>
        <w:t>доктор экономических наук, профессор</w:t>
      </w:r>
    </w:p>
    <w:p w:rsidR="00221C84" w:rsidRPr="009E1FF0" w:rsidRDefault="00221C84" w:rsidP="00F53F6B">
      <w:pPr>
        <w:spacing w:after="0" w:line="360" w:lineRule="auto"/>
        <w:ind w:firstLine="709"/>
        <w:jc w:val="right"/>
        <w:rPr>
          <w:rFonts w:ascii="PT Astra Serif" w:hAnsi="PT Astra Serif" w:cs="Times New Roman"/>
          <w:color w:val="000000"/>
          <w:sz w:val="28"/>
          <w:szCs w:val="28"/>
        </w:rPr>
      </w:pPr>
    </w:p>
    <w:p w:rsidR="00221C84" w:rsidRPr="009E1FF0" w:rsidRDefault="004B08F3" w:rsidP="00221C8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E1FF0">
        <w:rPr>
          <w:rFonts w:ascii="PT Astra Serif" w:hAnsi="PT Astra Serif" w:cs="Times New Roman"/>
          <w:b/>
          <w:color w:val="000000"/>
          <w:sz w:val="28"/>
          <w:szCs w:val="28"/>
        </w:rPr>
        <w:t>Закон об областном</w:t>
      </w:r>
      <w:r w:rsidR="00F53F6B" w:rsidRPr="009E1FF0">
        <w:rPr>
          <w:rFonts w:ascii="PT Astra Serif" w:hAnsi="PT Astra Serif" w:cs="Times New Roman"/>
          <w:b/>
          <w:color w:val="000000"/>
          <w:sz w:val="28"/>
          <w:szCs w:val="28"/>
        </w:rPr>
        <w:t xml:space="preserve"> бюджет</w:t>
      </w:r>
      <w:r w:rsidRPr="009E1FF0">
        <w:rPr>
          <w:rFonts w:ascii="PT Astra Serif" w:hAnsi="PT Astra Serif" w:cs="Times New Roman"/>
          <w:b/>
          <w:color w:val="000000"/>
          <w:sz w:val="28"/>
          <w:szCs w:val="28"/>
        </w:rPr>
        <w:t>е</w:t>
      </w:r>
      <w:r w:rsidR="00F53F6B" w:rsidRPr="009E1FF0">
        <w:rPr>
          <w:rFonts w:ascii="PT Astra Serif" w:hAnsi="PT Astra Serif" w:cs="Times New Roman"/>
          <w:b/>
          <w:color w:val="000000"/>
          <w:sz w:val="28"/>
          <w:szCs w:val="28"/>
        </w:rPr>
        <w:t xml:space="preserve"> Саратовской области </w:t>
      </w:r>
    </w:p>
    <w:p w:rsidR="004C48AD" w:rsidRPr="009E1FF0" w:rsidRDefault="00221C84" w:rsidP="00221C84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9E1FF0">
        <w:rPr>
          <w:rFonts w:ascii="PT Astra Serif" w:hAnsi="PT Astra Serif" w:cs="Times New Roman"/>
          <w:b/>
          <w:color w:val="000000"/>
          <w:sz w:val="28"/>
          <w:szCs w:val="28"/>
        </w:rPr>
        <w:t>на</w:t>
      </w:r>
      <w:r w:rsidR="00F53F6B" w:rsidRPr="009E1FF0">
        <w:rPr>
          <w:rFonts w:ascii="PT Astra Serif" w:hAnsi="PT Astra Serif" w:cs="Times New Roman"/>
          <w:b/>
          <w:color w:val="000000"/>
          <w:sz w:val="28"/>
          <w:szCs w:val="28"/>
        </w:rPr>
        <w:t xml:space="preserve"> 20</w:t>
      </w:r>
      <w:r w:rsidR="004B08F3" w:rsidRPr="009E1FF0">
        <w:rPr>
          <w:rFonts w:ascii="PT Astra Serif" w:hAnsi="PT Astra Serif" w:cs="Times New Roman"/>
          <w:b/>
          <w:color w:val="000000"/>
          <w:sz w:val="28"/>
          <w:szCs w:val="28"/>
        </w:rPr>
        <w:t>2</w:t>
      </w:r>
      <w:r w:rsidR="0018790E" w:rsidRPr="009E1FF0">
        <w:rPr>
          <w:rFonts w:ascii="PT Astra Serif" w:hAnsi="PT Astra Serif" w:cs="Times New Roman"/>
          <w:b/>
          <w:color w:val="000000"/>
          <w:sz w:val="28"/>
          <w:szCs w:val="28"/>
        </w:rPr>
        <w:t>3</w:t>
      </w:r>
      <w:r w:rsidR="004B08F3" w:rsidRPr="009E1FF0">
        <w:rPr>
          <w:rFonts w:ascii="PT Astra Serif" w:hAnsi="PT Astra Serif" w:cs="Times New Roman"/>
          <w:b/>
          <w:color w:val="000000"/>
          <w:sz w:val="28"/>
          <w:szCs w:val="28"/>
        </w:rPr>
        <w:t>-202</w:t>
      </w:r>
      <w:r w:rsidR="0018790E" w:rsidRPr="009E1FF0">
        <w:rPr>
          <w:rFonts w:ascii="PT Astra Serif" w:hAnsi="PT Astra Serif" w:cs="Times New Roman"/>
          <w:b/>
          <w:color w:val="000000"/>
          <w:sz w:val="28"/>
          <w:szCs w:val="28"/>
        </w:rPr>
        <w:t>5</w:t>
      </w:r>
      <w:r w:rsidR="00F53F6B" w:rsidRPr="009E1FF0">
        <w:rPr>
          <w:rFonts w:ascii="PT Astra Serif" w:hAnsi="PT Astra Serif" w:cs="Times New Roman"/>
          <w:b/>
          <w:color w:val="000000"/>
          <w:sz w:val="28"/>
          <w:szCs w:val="28"/>
        </w:rPr>
        <w:t xml:space="preserve"> год</w:t>
      </w:r>
      <w:r w:rsidR="004B08F3" w:rsidRPr="009E1FF0">
        <w:rPr>
          <w:rFonts w:ascii="PT Astra Serif" w:hAnsi="PT Astra Serif" w:cs="Times New Roman"/>
          <w:b/>
          <w:color w:val="000000"/>
          <w:sz w:val="28"/>
          <w:szCs w:val="28"/>
        </w:rPr>
        <w:t>ы</w:t>
      </w:r>
    </w:p>
    <w:p w:rsidR="00221C84" w:rsidRPr="009E1FF0" w:rsidRDefault="00221C84" w:rsidP="00F53F6B">
      <w:pPr>
        <w:spacing w:after="0" w:line="360" w:lineRule="auto"/>
        <w:ind w:firstLine="709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3A3CF9" w:rsidRPr="009E1FF0" w:rsidRDefault="000F686B" w:rsidP="000F686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E1FF0">
        <w:rPr>
          <w:rFonts w:ascii="PT Astra Serif" w:hAnsi="PT Astra Serif" w:cs="Times New Roman"/>
          <w:sz w:val="28"/>
          <w:szCs w:val="28"/>
        </w:rPr>
        <w:t xml:space="preserve">Депутаты Саратовской областной Думы одобрили главный финансовый документ </w:t>
      </w:r>
      <w:r w:rsidRPr="009E1FF0">
        <w:rPr>
          <w:rFonts w:ascii="PT Astra Serif" w:hAnsi="PT Astra Serif" w:cs="Times New Roman"/>
          <w:sz w:val="28"/>
          <w:szCs w:val="28"/>
        </w:rPr>
        <w:t>нашей области</w:t>
      </w:r>
      <w:r w:rsidRPr="009E1FF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9E1FF0">
        <w:rPr>
          <w:rFonts w:ascii="PT Astra Serif" w:eastAsia="Times New Roman" w:hAnsi="PT Astra Serif" w:cs="Times New Roman"/>
          <w:sz w:val="28"/>
          <w:szCs w:val="28"/>
          <w:lang w:eastAsia="ru-RU"/>
        </w:rPr>
        <w:t>на ближайшее трехлетие</w:t>
      </w:r>
      <w:r w:rsidRPr="009E1FF0">
        <w:rPr>
          <w:rFonts w:ascii="PT Astra Serif" w:eastAsia="Times New Roman" w:hAnsi="PT Astra Serif" w:cs="Times New Roman"/>
          <w:sz w:val="28"/>
          <w:szCs w:val="28"/>
          <w:lang w:eastAsia="ru-RU"/>
        </w:rPr>
        <w:t>. Он утвержден</w:t>
      </w:r>
      <w:r w:rsidRPr="009E1FF0">
        <w:rPr>
          <w:rFonts w:ascii="PT Astra Serif" w:hAnsi="PT Astra Serif" w:cs="Times New Roman"/>
          <w:sz w:val="28"/>
          <w:szCs w:val="28"/>
        </w:rPr>
        <w:t xml:space="preserve"> </w:t>
      </w:r>
      <w:r w:rsidR="00437568" w:rsidRPr="009E1FF0">
        <w:rPr>
          <w:rFonts w:ascii="PT Astra Serif" w:eastAsia="Times New Roman" w:hAnsi="PT Astra Serif" w:cs="Times New Roman"/>
          <w:sz w:val="28"/>
          <w:szCs w:val="28"/>
          <w:lang w:eastAsia="ru-RU"/>
        </w:rPr>
        <w:t>З</w:t>
      </w:r>
      <w:r w:rsidR="003A3CF9" w:rsidRPr="009E1FF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аконом Саратовской области от </w:t>
      </w:r>
      <w:r w:rsidR="003C3F9A" w:rsidRPr="009E1FF0">
        <w:rPr>
          <w:rFonts w:ascii="PT Astra Serif" w:eastAsia="Times New Roman" w:hAnsi="PT Astra Serif" w:cs="Times New Roman"/>
          <w:sz w:val="28"/>
          <w:szCs w:val="28"/>
          <w:lang w:eastAsia="ru-RU"/>
        </w:rPr>
        <w:t>30 ноября 2022 года № 151-ЗСО</w:t>
      </w:r>
      <w:r w:rsidR="00437568" w:rsidRPr="009E1FF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«Об областном бюджете на 2023 год и на плановый период 2024 и 2025 годов»</w:t>
      </w:r>
      <w:r w:rsidR="003A3CF9" w:rsidRPr="009E1FF0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2D52A3" w:rsidRPr="009E1FF0" w:rsidRDefault="00D95BEE" w:rsidP="000F686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Согласно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</w:t>
      </w:r>
      <w:r w:rsidR="000F686B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закону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в предстоящем 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2023 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году регион 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наполнит областную казну на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1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25,1 </w:t>
      </w:r>
      <w:proofErr w:type="gramStart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млрд</w:t>
      </w:r>
      <w:proofErr w:type="gramEnd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рублей, расходы составят 1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34,3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млрд рублей</w:t>
      </w:r>
      <w:r w:rsidR="002D52A3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, д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ефицит </w:t>
      </w:r>
      <w:r w:rsidR="0018790E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–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9,</w:t>
      </w:r>
      <w:r w:rsidR="0018790E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2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млрд рублей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(</w:t>
      </w:r>
      <w:r w:rsidR="0018790E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р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ис</w:t>
      </w:r>
      <w:r w:rsidR="0018790E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унок</w:t>
      </w:r>
      <w:r w:rsidR="00E76B35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1)</w:t>
      </w:r>
      <w:r w:rsidR="002D52A3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.</w:t>
      </w:r>
    </w:p>
    <w:p w:rsidR="00851BD4" w:rsidRPr="009E1FF0" w:rsidRDefault="00851BD4" w:rsidP="00957A53">
      <w:pPr>
        <w:spacing w:after="0" w:line="360" w:lineRule="auto"/>
        <w:ind w:firstLine="709"/>
        <w:jc w:val="both"/>
        <w:rPr>
          <w:rFonts w:ascii="PT Astra Serif" w:hAnsi="PT Astra Serif" w:cs="Times New Roman"/>
          <w:sz w:val="18"/>
          <w:szCs w:val="28"/>
          <w:shd w:val="clear" w:color="auto" w:fill="FFFFFF"/>
        </w:rPr>
      </w:pPr>
    </w:p>
    <w:p w:rsidR="002322A8" w:rsidRPr="009E1FF0" w:rsidRDefault="002322A8" w:rsidP="002322A8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Рисунок 1. </w:t>
      </w:r>
      <w:r w:rsidR="0018790E"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Основные показатели бюджета Саратовской области, </w:t>
      </w:r>
      <w:proofErr w:type="gramStart"/>
      <w:r w:rsidR="0018790E"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>млрд</w:t>
      </w:r>
      <w:proofErr w:type="gramEnd"/>
      <w:r w:rsidR="0018790E"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 рублей</w:t>
      </w:r>
    </w:p>
    <w:p w:rsidR="0018790E" w:rsidRPr="009E1FF0" w:rsidRDefault="0018790E" w:rsidP="002322A8">
      <w:pPr>
        <w:spacing w:after="0" w:line="240" w:lineRule="auto"/>
        <w:jc w:val="both"/>
        <w:rPr>
          <w:rFonts w:ascii="PT Astra Serif" w:hAnsi="PT Astra Serif" w:cs="Times New Roman"/>
          <w:b/>
          <w:sz w:val="14"/>
          <w:szCs w:val="28"/>
          <w:shd w:val="clear" w:color="auto" w:fill="FFFFFF"/>
        </w:rPr>
      </w:pPr>
    </w:p>
    <w:p w:rsidR="0018790E" w:rsidRPr="009E1FF0" w:rsidRDefault="0018790E" w:rsidP="002322A8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  <w:r w:rsidRPr="009E1FF0">
        <w:rPr>
          <w:rFonts w:ascii="PT Astra Serif" w:hAnsi="PT Astra Serif"/>
          <w:noProof/>
          <w:lang w:eastAsia="ru-RU"/>
        </w:rPr>
        <w:drawing>
          <wp:inline distT="0" distB="0" distL="0" distR="0" wp14:anchorId="4CD6F7AF" wp14:editId="6DE8D95A">
            <wp:extent cx="5940425" cy="26621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322A8" w:rsidRPr="009E1FF0" w:rsidRDefault="002322A8" w:rsidP="002322A8">
      <w:pPr>
        <w:spacing w:after="0" w:line="240" w:lineRule="auto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</w:p>
    <w:p w:rsidR="00851BD4" w:rsidRPr="009E1FF0" w:rsidRDefault="00851BD4" w:rsidP="000F6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E1FF0">
        <w:rPr>
          <w:rFonts w:ascii="PT Astra Serif" w:hAnsi="PT Astra Serif" w:cs="Times New Roman"/>
          <w:sz w:val="28"/>
          <w:szCs w:val="28"/>
        </w:rPr>
        <w:t xml:space="preserve">Налоговые и неналоговые доходы утверждены на 2023 год в размере 90,3 </w:t>
      </w:r>
      <w:proofErr w:type="gramStart"/>
      <w:r w:rsidRPr="009E1FF0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9E1FF0">
        <w:rPr>
          <w:rFonts w:ascii="PT Astra Serif" w:hAnsi="PT Astra Serif" w:cs="Times New Roman"/>
          <w:sz w:val="28"/>
          <w:szCs w:val="28"/>
        </w:rPr>
        <w:t xml:space="preserve"> рублей, 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с ростом 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их в </w:t>
      </w:r>
      <w:r w:rsidRPr="009E1FF0">
        <w:rPr>
          <w:rFonts w:ascii="PT Astra Serif" w:hAnsi="PT Astra Serif" w:cs="Times New Roman"/>
          <w:sz w:val="28"/>
          <w:szCs w:val="28"/>
        </w:rPr>
        <w:t>2024 и 2025 год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ах </w:t>
      </w:r>
      <w:r w:rsidRPr="009E1FF0">
        <w:rPr>
          <w:rFonts w:ascii="PT Astra Serif" w:hAnsi="PT Astra Serif" w:cs="Times New Roman"/>
          <w:sz w:val="28"/>
          <w:szCs w:val="28"/>
        </w:rPr>
        <w:t xml:space="preserve">до 97,0 и 102,4 млрд рублей соответственно. </w:t>
      </w:r>
    </w:p>
    <w:p w:rsidR="00851BD4" w:rsidRPr="009E1FF0" w:rsidRDefault="00851BD4" w:rsidP="000F6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E1FF0">
        <w:rPr>
          <w:rFonts w:ascii="PT Astra Serif" w:hAnsi="PT Astra Serif" w:cs="Times New Roman"/>
          <w:sz w:val="28"/>
          <w:szCs w:val="28"/>
        </w:rPr>
        <w:t xml:space="preserve">Заметим, что 2/3 доходных источников формируется именно в области, и </w:t>
      </w:r>
      <w:r w:rsidR="000F686B" w:rsidRPr="009E1FF0">
        <w:rPr>
          <w:rFonts w:ascii="PT Astra Serif" w:hAnsi="PT Astra Serif" w:cs="Times New Roman"/>
          <w:sz w:val="28"/>
          <w:szCs w:val="28"/>
        </w:rPr>
        <w:t>еще</w:t>
      </w:r>
      <w:r w:rsidRPr="009E1FF0">
        <w:rPr>
          <w:rFonts w:ascii="PT Astra Serif" w:hAnsi="PT Astra Serif" w:cs="Times New Roman"/>
          <w:sz w:val="28"/>
          <w:szCs w:val="28"/>
        </w:rPr>
        <w:t xml:space="preserve"> треть доходов поступит в виде безвозмездных поступлений из федерального бюджета.</w:t>
      </w:r>
    </w:p>
    <w:p w:rsidR="00851BD4" w:rsidRPr="009E1FF0" w:rsidRDefault="00D83257" w:rsidP="000F6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E1FF0">
        <w:rPr>
          <w:rFonts w:ascii="PT Astra Serif" w:hAnsi="PT Astra Serif" w:cs="Times New Roman"/>
          <w:sz w:val="28"/>
          <w:szCs w:val="28"/>
        </w:rPr>
        <w:t xml:space="preserve">В параметрах бюджета заложен сдержанный рост по основным </w:t>
      </w:r>
      <w:proofErr w:type="spellStart"/>
      <w:r w:rsidRPr="009E1FF0">
        <w:rPr>
          <w:rFonts w:ascii="PT Astra Serif" w:hAnsi="PT Astra Serif" w:cs="Times New Roman"/>
          <w:sz w:val="28"/>
          <w:szCs w:val="28"/>
        </w:rPr>
        <w:t>бюджетообразующим</w:t>
      </w:r>
      <w:proofErr w:type="spellEnd"/>
      <w:r w:rsidRPr="009E1FF0">
        <w:rPr>
          <w:rFonts w:ascii="PT Astra Serif" w:hAnsi="PT Astra Serif" w:cs="Times New Roman"/>
          <w:sz w:val="28"/>
          <w:szCs w:val="28"/>
        </w:rPr>
        <w:t xml:space="preserve"> налогам. Около 90% налоговых и неналоговых доходов областного бюджета формируют четыре налога:</w:t>
      </w:r>
      <w:r w:rsidR="00851BD4" w:rsidRPr="009E1FF0">
        <w:rPr>
          <w:rFonts w:ascii="PT Astra Serif" w:hAnsi="PT Astra Serif" w:cs="Times New Roman"/>
          <w:sz w:val="28"/>
          <w:szCs w:val="28"/>
        </w:rPr>
        <w:t xml:space="preserve"> налог на доходы физических лиц (</w:t>
      </w:r>
      <w:r w:rsidR="00B06ABA" w:rsidRPr="009E1FF0">
        <w:rPr>
          <w:rFonts w:ascii="PT Astra Serif" w:hAnsi="PT Astra Serif" w:cs="Times New Roman"/>
          <w:sz w:val="28"/>
          <w:szCs w:val="28"/>
        </w:rPr>
        <w:t>34,9</w:t>
      </w:r>
      <w:r w:rsidR="00851BD4" w:rsidRPr="009E1FF0">
        <w:rPr>
          <w:rFonts w:ascii="PT Astra Serif" w:hAnsi="PT Astra Serif" w:cs="Times New Roman"/>
          <w:sz w:val="28"/>
          <w:szCs w:val="28"/>
        </w:rPr>
        <w:t>%), налог на прибыль организаций (</w:t>
      </w:r>
      <w:r w:rsidR="00B06ABA" w:rsidRPr="009E1FF0">
        <w:rPr>
          <w:rFonts w:ascii="PT Astra Serif" w:hAnsi="PT Astra Serif" w:cs="Times New Roman"/>
          <w:sz w:val="28"/>
          <w:szCs w:val="28"/>
        </w:rPr>
        <w:t>30,8</w:t>
      </w:r>
      <w:r w:rsidR="00851BD4" w:rsidRPr="009E1FF0">
        <w:rPr>
          <w:rFonts w:ascii="PT Astra Serif" w:hAnsi="PT Astra Serif" w:cs="Times New Roman"/>
          <w:sz w:val="28"/>
          <w:szCs w:val="28"/>
        </w:rPr>
        <w:t>%), акцизы (</w:t>
      </w:r>
      <w:r w:rsidR="00B06ABA" w:rsidRPr="009E1FF0">
        <w:rPr>
          <w:rFonts w:ascii="PT Astra Serif" w:hAnsi="PT Astra Serif" w:cs="Times New Roman"/>
          <w:sz w:val="28"/>
          <w:szCs w:val="28"/>
        </w:rPr>
        <w:t>14,9</w:t>
      </w:r>
      <w:r w:rsidR="00851BD4" w:rsidRPr="009E1FF0">
        <w:rPr>
          <w:rFonts w:ascii="PT Astra Serif" w:hAnsi="PT Astra Serif" w:cs="Times New Roman"/>
          <w:sz w:val="28"/>
          <w:szCs w:val="28"/>
        </w:rPr>
        <w:t>%) и налог на имущество организаций (</w:t>
      </w:r>
      <w:r w:rsidR="00B06ABA" w:rsidRPr="009E1FF0">
        <w:rPr>
          <w:rFonts w:ascii="PT Astra Serif" w:hAnsi="PT Astra Serif" w:cs="Times New Roman"/>
          <w:sz w:val="28"/>
          <w:szCs w:val="28"/>
        </w:rPr>
        <w:t>9,2</w:t>
      </w:r>
      <w:r w:rsidRPr="009E1FF0">
        <w:rPr>
          <w:rFonts w:ascii="PT Astra Serif" w:hAnsi="PT Astra Serif" w:cs="Times New Roman"/>
          <w:sz w:val="28"/>
          <w:szCs w:val="28"/>
        </w:rPr>
        <w:t xml:space="preserve">%) </w:t>
      </w:r>
      <w:r w:rsidR="00851BD4" w:rsidRPr="009E1FF0">
        <w:rPr>
          <w:rFonts w:ascii="PT Astra Serif" w:hAnsi="PT Astra Serif" w:cs="Times New Roman"/>
          <w:sz w:val="28"/>
          <w:szCs w:val="28"/>
        </w:rPr>
        <w:t>(рисунок 2).</w:t>
      </w:r>
    </w:p>
    <w:p w:rsidR="00437568" w:rsidRPr="009E1FF0" w:rsidRDefault="00437568" w:rsidP="00851BD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PT Astra Serif" w:hAnsi="PT Astra Serif" w:cs="Times New Roman"/>
          <w:sz w:val="8"/>
          <w:szCs w:val="28"/>
        </w:rPr>
      </w:pPr>
    </w:p>
    <w:p w:rsidR="000F686B" w:rsidRPr="009E1FF0" w:rsidRDefault="000F686B" w:rsidP="00851BD4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</w:p>
    <w:p w:rsidR="000F686B" w:rsidRPr="009E1FF0" w:rsidRDefault="000F686B" w:rsidP="00851BD4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</w:p>
    <w:p w:rsidR="00851BD4" w:rsidRPr="009E1FF0" w:rsidRDefault="00851BD4" w:rsidP="00851BD4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lastRenderedPageBreak/>
        <w:t xml:space="preserve">Рисунок 2. Структура налоговых и неналоговых доходов областного бюджета на 2023 год, </w:t>
      </w:r>
      <w:proofErr w:type="gramStart"/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>млрд</w:t>
      </w:r>
      <w:proofErr w:type="gramEnd"/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 рублей</w:t>
      </w:r>
    </w:p>
    <w:p w:rsidR="00851BD4" w:rsidRPr="009E1FF0" w:rsidRDefault="00851BD4" w:rsidP="00851BD4">
      <w:pPr>
        <w:spacing w:after="0" w:line="240" w:lineRule="auto"/>
        <w:jc w:val="both"/>
        <w:rPr>
          <w:rFonts w:ascii="PT Astra Serif" w:hAnsi="PT Astra Serif" w:cs="Times New Roman"/>
          <w:sz w:val="28"/>
          <w:highlight w:val="yellow"/>
        </w:rPr>
      </w:pPr>
      <w:r w:rsidRPr="009E1FF0">
        <w:rPr>
          <w:rFonts w:ascii="PT Astra Serif" w:hAnsi="PT Astra Serif" w:cs="Times New Roman"/>
          <w:noProof/>
          <w:sz w:val="28"/>
          <w:lang w:eastAsia="ru-RU"/>
        </w:rPr>
        <w:drawing>
          <wp:inline distT="0" distB="0" distL="0" distR="0" wp14:anchorId="18E7374D" wp14:editId="79414422">
            <wp:extent cx="5768511" cy="2720898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A1174" w:rsidRPr="009E1FF0" w:rsidRDefault="00CE45E1" w:rsidP="000F686B">
      <w:pPr>
        <w:pStyle w:val="aa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9E1FF0">
        <w:rPr>
          <w:rFonts w:ascii="PT Astra Serif" w:hAnsi="PT Astra Serif"/>
          <w:sz w:val="28"/>
          <w:szCs w:val="28"/>
          <w:shd w:val="clear" w:color="auto" w:fill="FFFFFF"/>
        </w:rPr>
        <w:t>К</w:t>
      </w:r>
      <w:r w:rsidR="001A1174"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лючевыми для </w:t>
      </w:r>
      <w:r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областного бюджета на протяжении многих лет остаются </w:t>
      </w:r>
      <w:r w:rsidR="001A1174"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задачи гарантированного исполнения социальных обязательств перед жителями области и достижения обозначенных Президентом России национальных целей. Максимально обеспечена социальная составляющая бюджета. Из общего объема расходов </w:t>
      </w:r>
      <w:r w:rsidR="00D83257"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 68% – это 91,7 </w:t>
      </w:r>
      <w:proofErr w:type="gramStart"/>
      <w:r w:rsidR="00D83257" w:rsidRPr="009E1FF0">
        <w:rPr>
          <w:rFonts w:ascii="PT Astra Serif" w:hAnsi="PT Astra Serif"/>
          <w:sz w:val="28"/>
          <w:szCs w:val="28"/>
          <w:shd w:val="clear" w:color="auto" w:fill="FFFFFF"/>
        </w:rPr>
        <w:t>млрд</w:t>
      </w:r>
      <w:proofErr w:type="gramEnd"/>
      <w:r w:rsidR="00D83257"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 рублей – </w:t>
      </w:r>
      <w:r w:rsidR="001A1174" w:rsidRPr="009E1FF0">
        <w:rPr>
          <w:rFonts w:ascii="PT Astra Serif" w:hAnsi="PT Astra Serif"/>
          <w:sz w:val="28"/>
          <w:szCs w:val="28"/>
          <w:shd w:val="clear" w:color="auto" w:fill="FFFFFF"/>
        </w:rPr>
        <w:t>приходится на отрасли социальной сферы</w:t>
      </w:r>
      <w:r w:rsidRPr="009E1FF0">
        <w:rPr>
          <w:rFonts w:ascii="PT Astra Serif" w:hAnsi="PT Astra Serif"/>
          <w:sz w:val="28"/>
          <w:szCs w:val="28"/>
          <w:shd w:val="clear" w:color="auto" w:fill="FFFFFF"/>
        </w:rPr>
        <w:t>.</w:t>
      </w:r>
      <w:r w:rsidR="003144C2"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 w:rsidR="001A1174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 xml:space="preserve">Наиболее значимыми по масштабам финансирования являются </w:t>
      </w:r>
      <w:r w:rsidR="0018790E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1A1174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>Социальная политика</w:t>
      </w:r>
      <w:r w:rsidR="0018790E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1A1174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18790E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1A1174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>Образование</w:t>
      </w:r>
      <w:r w:rsidR="0018790E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 xml:space="preserve">» и </w:t>
      </w:r>
      <w:r w:rsidR="001A1174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8790E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1A1174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>Здравоохранение</w:t>
      </w:r>
      <w:r w:rsidR="0018790E" w:rsidRPr="009E1FF0">
        <w:rPr>
          <w:rFonts w:ascii="PT Astra Serif" w:hAnsi="PT Astra Serif"/>
          <w:iCs/>
          <w:sz w:val="28"/>
          <w:szCs w:val="28"/>
          <w:bdr w:val="none" w:sz="0" w:space="0" w:color="auto" w:frame="1"/>
          <w:shd w:val="clear" w:color="auto" w:fill="FFFFFF"/>
        </w:rPr>
        <w:t>» (</w:t>
      </w:r>
      <w:r w:rsidR="0018790E" w:rsidRPr="009E1FF0">
        <w:rPr>
          <w:rFonts w:ascii="PT Astra Serif" w:hAnsi="PT Astra Serif"/>
          <w:sz w:val="28"/>
          <w:szCs w:val="28"/>
          <w:shd w:val="clear" w:color="auto" w:fill="FFFFFF"/>
        </w:rPr>
        <w:t>т</w:t>
      </w:r>
      <w:r w:rsidR="003144C2"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аблица </w:t>
      </w:r>
      <w:r w:rsidR="001A1174"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 w:rsidR="003144C2" w:rsidRPr="009E1FF0">
        <w:rPr>
          <w:rFonts w:ascii="PT Astra Serif" w:hAnsi="PT Astra Serif"/>
          <w:sz w:val="28"/>
          <w:szCs w:val="28"/>
          <w:shd w:val="clear" w:color="auto" w:fill="FFFFFF"/>
        </w:rPr>
        <w:t>1</w:t>
      </w:r>
      <w:r w:rsidR="001A1174" w:rsidRPr="009E1FF0">
        <w:rPr>
          <w:rFonts w:ascii="PT Astra Serif" w:hAnsi="PT Astra Serif"/>
          <w:sz w:val="28"/>
          <w:szCs w:val="28"/>
          <w:shd w:val="clear" w:color="auto" w:fill="FFFFFF"/>
        </w:rPr>
        <w:t xml:space="preserve">). </w:t>
      </w:r>
    </w:p>
    <w:p w:rsidR="000F686B" w:rsidRPr="009E1FF0" w:rsidRDefault="000F686B" w:rsidP="000F686B">
      <w:pPr>
        <w:pStyle w:val="aa"/>
        <w:spacing w:before="0" w:beforeAutospacing="0" w:after="0" w:afterAutospacing="0"/>
        <w:ind w:firstLine="709"/>
        <w:jc w:val="both"/>
        <w:rPr>
          <w:rFonts w:ascii="PT Astra Serif" w:hAnsi="PT Astra Serif"/>
          <w:sz w:val="20"/>
          <w:szCs w:val="28"/>
          <w:shd w:val="clear" w:color="auto" w:fill="FFFFFF"/>
        </w:rPr>
      </w:pPr>
    </w:p>
    <w:p w:rsidR="002322A8" w:rsidRPr="009E1FF0" w:rsidRDefault="002322A8" w:rsidP="003144C2">
      <w:pPr>
        <w:pStyle w:val="aa"/>
        <w:spacing w:before="0" w:beforeAutospacing="0" w:after="0" w:afterAutospacing="0" w:line="360" w:lineRule="auto"/>
        <w:ind w:firstLine="709"/>
        <w:jc w:val="both"/>
        <w:rPr>
          <w:rFonts w:ascii="PT Astra Serif" w:hAnsi="PT Astra Serif"/>
          <w:sz w:val="4"/>
          <w:szCs w:val="28"/>
          <w:shd w:val="clear" w:color="auto" w:fill="FFFFFF"/>
        </w:rPr>
      </w:pPr>
    </w:p>
    <w:p w:rsidR="005C2316" w:rsidRPr="009E1FF0" w:rsidRDefault="005C2316" w:rsidP="002322A8">
      <w:pPr>
        <w:pStyle w:val="aa"/>
        <w:tabs>
          <w:tab w:val="left" w:pos="1156"/>
        </w:tabs>
        <w:spacing w:before="0" w:beforeAutospacing="0" w:after="0" w:afterAutospacing="0"/>
        <w:jc w:val="both"/>
        <w:textAlignment w:val="baseline"/>
        <w:rPr>
          <w:rFonts w:ascii="PT Astra Serif" w:eastAsiaTheme="minorHAnsi" w:hAnsi="PT Astra Serif"/>
          <w:b/>
          <w:sz w:val="28"/>
          <w:szCs w:val="28"/>
          <w:shd w:val="clear" w:color="auto" w:fill="FFFFFF"/>
          <w:lang w:eastAsia="en-US"/>
        </w:rPr>
      </w:pPr>
      <w:r w:rsidRPr="009E1FF0">
        <w:rPr>
          <w:rFonts w:ascii="PT Astra Serif" w:eastAsiaTheme="minorHAnsi" w:hAnsi="PT Astra Serif"/>
          <w:b/>
          <w:sz w:val="28"/>
          <w:szCs w:val="28"/>
          <w:shd w:val="clear" w:color="auto" w:fill="FFFFFF"/>
          <w:lang w:eastAsia="en-US"/>
        </w:rPr>
        <w:t>Таблица 1. Динамика и структура социальных расходов бюджета Саратовской области</w:t>
      </w:r>
    </w:p>
    <w:p w:rsidR="002322A8" w:rsidRPr="009E1FF0" w:rsidRDefault="002322A8" w:rsidP="002322A8">
      <w:pPr>
        <w:pStyle w:val="aa"/>
        <w:tabs>
          <w:tab w:val="left" w:pos="1156"/>
        </w:tabs>
        <w:spacing w:before="0" w:beforeAutospacing="0" w:after="0" w:afterAutospacing="0"/>
        <w:jc w:val="both"/>
        <w:textAlignment w:val="baseline"/>
        <w:rPr>
          <w:rFonts w:ascii="PT Astra Serif" w:eastAsiaTheme="minorHAnsi" w:hAnsi="PT Astra Serif"/>
          <w:b/>
          <w:sz w:val="20"/>
          <w:szCs w:val="28"/>
          <w:shd w:val="clear" w:color="auto" w:fill="FFFFFF"/>
          <w:lang w:eastAsia="en-US"/>
        </w:rPr>
      </w:pP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98"/>
        <w:gridCol w:w="877"/>
        <w:gridCol w:w="648"/>
        <w:gridCol w:w="877"/>
        <w:gridCol w:w="733"/>
        <w:gridCol w:w="877"/>
        <w:gridCol w:w="733"/>
        <w:gridCol w:w="877"/>
        <w:gridCol w:w="733"/>
        <w:gridCol w:w="877"/>
        <w:gridCol w:w="733"/>
      </w:tblGrid>
      <w:tr w:rsidR="00C94150" w:rsidRPr="009E1FF0" w:rsidTr="00C94150">
        <w:tc>
          <w:tcPr>
            <w:tcW w:w="1498" w:type="dxa"/>
            <w:vMerge w:val="restart"/>
            <w:shd w:val="clear" w:color="auto" w:fill="DBE5F1" w:themeFill="accent1" w:themeFillTint="33"/>
            <w:vAlign w:val="center"/>
          </w:tcPr>
          <w:p w:rsidR="00C94150" w:rsidRPr="009E1FF0" w:rsidRDefault="00C94150" w:rsidP="002322A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hd w:val="clear" w:color="auto" w:fill="DBE5F1" w:themeFill="accent1" w:themeFillTint="33"/>
                <w:lang w:eastAsia="en-US"/>
              </w:rPr>
              <w:t>Показатель</w:t>
            </w:r>
          </w:p>
        </w:tc>
        <w:tc>
          <w:tcPr>
            <w:tcW w:w="1525" w:type="dxa"/>
            <w:gridSpan w:val="2"/>
            <w:shd w:val="clear" w:color="auto" w:fill="DBE5F1" w:themeFill="accent1" w:themeFillTint="33"/>
            <w:vAlign w:val="center"/>
          </w:tcPr>
          <w:p w:rsidR="00C94150" w:rsidRPr="009E1FF0" w:rsidRDefault="00C94150" w:rsidP="002322A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hd w:val="clear" w:color="auto" w:fill="DBE5F1" w:themeFill="accent1" w:themeFillTint="33"/>
                <w:lang w:eastAsia="en-US"/>
              </w:rPr>
              <w:t>2021</w:t>
            </w:r>
          </w:p>
        </w:tc>
        <w:tc>
          <w:tcPr>
            <w:tcW w:w="1610" w:type="dxa"/>
            <w:gridSpan w:val="2"/>
            <w:shd w:val="clear" w:color="auto" w:fill="DBE5F1" w:themeFill="accent1" w:themeFillTint="33"/>
            <w:vAlign w:val="center"/>
          </w:tcPr>
          <w:p w:rsidR="00C94150" w:rsidRPr="009E1FF0" w:rsidRDefault="00C94150" w:rsidP="00C94150">
            <w:pPr>
              <w:jc w:val="center"/>
              <w:rPr>
                <w:rFonts w:ascii="PT Astra Serif" w:hAnsi="PT Astra Serif"/>
              </w:rPr>
            </w:pPr>
            <w:r w:rsidRPr="009E1FF0">
              <w:rPr>
                <w:rFonts w:ascii="PT Astra Serif" w:hAnsi="PT Astra Serif"/>
                <w:b/>
                <w:sz w:val="24"/>
                <w:szCs w:val="24"/>
                <w:shd w:val="clear" w:color="auto" w:fill="DBE5F1" w:themeFill="accent1" w:themeFillTint="33"/>
              </w:rPr>
              <w:t>2022</w:t>
            </w:r>
          </w:p>
        </w:tc>
        <w:tc>
          <w:tcPr>
            <w:tcW w:w="1610" w:type="dxa"/>
            <w:gridSpan w:val="2"/>
            <w:shd w:val="clear" w:color="auto" w:fill="DBE5F1" w:themeFill="accent1" w:themeFillTint="33"/>
            <w:vAlign w:val="center"/>
          </w:tcPr>
          <w:p w:rsidR="00C94150" w:rsidRPr="009E1FF0" w:rsidRDefault="00C94150" w:rsidP="00C94150">
            <w:pPr>
              <w:jc w:val="center"/>
              <w:rPr>
                <w:rFonts w:ascii="PT Astra Serif" w:hAnsi="PT Astra Serif"/>
              </w:rPr>
            </w:pPr>
            <w:r w:rsidRPr="009E1FF0">
              <w:rPr>
                <w:rFonts w:ascii="PT Astra Serif" w:hAnsi="PT Astra Serif"/>
                <w:b/>
                <w:sz w:val="24"/>
                <w:szCs w:val="24"/>
                <w:shd w:val="clear" w:color="auto" w:fill="DBE5F1" w:themeFill="accent1" w:themeFillTint="33"/>
              </w:rPr>
              <w:t>2023</w:t>
            </w:r>
          </w:p>
        </w:tc>
        <w:tc>
          <w:tcPr>
            <w:tcW w:w="1610" w:type="dxa"/>
            <w:gridSpan w:val="2"/>
            <w:shd w:val="clear" w:color="auto" w:fill="DBE5F1" w:themeFill="accent1" w:themeFillTint="33"/>
            <w:vAlign w:val="center"/>
          </w:tcPr>
          <w:p w:rsidR="00C94150" w:rsidRPr="009E1FF0" w:rsidRDefault="00C94150" w:rsidP="00C94150">
            <w:pPr>
              <w:jc w:val="center"/>
              <w:rPr>
                <w:rFonts w:ascii="PT Astra Serif" w:hAnsi="PT Astra Serif"/>
              </w:rPr>
            </w:pPr>
            <w:r w:rsidRPr="009E1FF0">
              <w:rPr>
                <w:rFonts w:ascii="PT Astra Serif" w:hAnsi="PT Astra Serif"/>
                <w:b/>
                <w:sz w:val="24"/>
                <w:szCs w:val="24"/>
                <w:shd w:val="clear" w:color="auto" w:fill="DBE5F1" w:themeFill="accent1" w:themeFillTint="33"/>
              </w:rPr>
              <w:t>2024</w:t>
            </w:r>
          </w:p>
        </w:tc>
        <w:tc>
          <w:tcPr>
            <w:tcW w:w="1610" w:type="dxa"/>
            <w:gridSpan w:val="2"/>
            <w:shd w:val="clear" w:color="auto" w:fill="DBE5F1" w:themeFill="accent1" w:themeFillTint="33"/>
            <w:vAlign w:val="center"/>
          </w:tcPr>
          <w:p w:rsidR="00C94150" w:rsidRPr="009E1FF0" w:rsidRDefault="00C94150" w:rsidP="00C94150">
            <w:pPr>
              <w:jc w:val="center"/>
              <w:rPr>
                <w:rFonts w:ascii="PT Astra Serif" w:hAnsi="PT Astra Serif"/>
              </w:rPr>
            </w:pPr>
            <w:r w:rsidRPr="009E1FF0">
              <w:rPr>
                <w:rFonts w:ascii="PT Astra Serif" w:hAnsi="PT Astra Serif"/>
                <w:b/>
                <w:sz w:val="24"/>
                <w:szCs w:val="24"/>
                <w:shd w:val="clear" w:color="auto" w:fill="DBE5F1" w:themeFill="accent1" w:themeFillTint="33"/>
              </w:rPr>
              <w:t>2025</w:t>
            </w:r>
          </w:p>
        </w:tc>
      </w:tr>
      <w:tr w:rsidR="00EB5FBB" w:rsidRPr="009E1FF0" w:rsidTr="00C94150">
        <w:tc>
          <w:tcPr>
            <w:tcW w:w="1498" w:type="dxa"/>
            <w:vMerge/>
            <w:shd w:val="clear" w:color="auto" w:fill="DBE5F1" w:themeFill="accent1" w:themeFillTint="33"/>
          </w:tcPr>
          <w:p w:rsidR="00EB5FBB" w:rsidRPr="009E1FF0" w:rsidRDefault="00EB5FBB" w:rsidP="002322A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both"/>
              <w:textAlignment w:val="baseline"/>
              <w:rPr>
                <w:rFonts w:ascii="PT Astra Serif" w:eastAsiaTheme="minorHAnsi" w:hAnsi="PT Astra Serif"/>
                <w:b/>
                <w:shd w:val="clear" w:color="auto" w:fill="FFFFFF"/>
                <w:lang w:eastAsia="en-US"/>
              </w:rPr>
            </w:pPr>
          </w:p>
        </w:tc>
        <w:tc>
          <w:tcPr>
            <w:tcW w:w="1525" w:type="dxa"/>
            <w:gridSpan w:val="2"/>
            <w:shd w:val="clear" w:color="auto" w:fill="DBE5F1" w:themeFill="accent1" w:themeFillTint="33"/>
          </w:tcPr>
          <w:p w:rsidR="00EB5FBB" w:rsidRPr="009E1FF0" w:rsidRDefault="00EB5FBB" w:rsidP="002322A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hd w:val="clear" w:color="auto" w:fill="DBE5F1" w:themeFill="accent1" w:themeFillTint="33"/>
                <w:lang w:eastAsia="en-US"/>
              </w:rPr>
              <w:t>отчет</w:t>
            </w:r>
          </w:p>
        </w:tc>
        <w:tc>
          <w:tcPr>
            <w:tcW w:w="1610" w:type="dxa"/>
            <w:gridSpan w:val="2"/>
            <w:shd w:val="clear" w:color="auto" w:fill="DBE5F1" w:themeFill="accent1" w:themeFillTint="33"/>
          </w:tcPr>
          <w:p w:rsidR="00EB5FBB" w:rsidRPr="009E1FF0" w:rsidRDefault="00EB5FBB" w:rsidP="002322A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hd w:val="clear" w:color="auto" w:fill="DBE5F1" w:themeFill="accent1" w:themeFillTint="33"/>
                <w:lang w:eastAsia="en-US"/>
              </w:rPr>
              <w:t>оценка</w:t>
            </w:r>
          </w:p>
        </w:tc>
        <w:tc>
          <w:tcPr>
            <w:tcW w:w="4830" w:type="dxa"/>
            <w:gridSpan w:val="6"/>
            <w:shd w:val="clear" w:color="auto" w:fill="DBE5F1" w:themeFill="accent1" w:themeFillTint="33"/>
          </w:tcPr>
          <w:p w:rsidR="00EB5FBB" w:rsidRPr="009E1FF0" w:rsidRDefault="00EB5FBB" w:rsidP="002322A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hd w:val="clear" w:color="auto" w:fill="DBE5F1" w:themeFill="accent1" w:themeFillTint="33"/>
                <w:lang w:eastAsia="en-US"/>
              </w:rPr>
              <w:t>прогноз</w:t>
            </w:r>
          </w:p>
        </w:tc>
      </w:tr>
      <w:tr w:rsidR="00C94150" w:rsidRPr="009E1FF0" w:rsidTr="00C94150">
        <w:tc>
          <w:tcPr>
            <w:tcW w:w="1498" w:type="dxa"/>
            <w:vMerge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77" w:type="dxa"/>
            <w:shd w:val="clear" w:color="auto" w:fill="DBE5F1" w:themeFill="accent1" w:themeFillTint="33"/>
            <w:vAlign w:val="center"/>
          </w:tcPr>
          <w:p w:rsidR="00C94150" w:rsidRPr="009E1FF0" w:rsidRDefault="00C94150" w:rsidP="001D45EF">
            <w:pPr>
              <w:pStyle w:val="aa"/>
              <w:tabs>
                <w:tab w:val="left" w:pos="1156"/>
              </w:tabs>
              <w:spacing w:before="0" w:beforeAutospacing="0" w:after="0" w:afterAutospacing="0"/>
              <w:ind w:left="-188" w:right="-143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proofErr w:type="gramStart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млрд</w:t>
            </w:r>
            <w:proofErr w:type="gramEnd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 xml:space="preserve"> рублей</w:t>
            </w:r>
          </w:p>
        </w:tc>
        <w:tc>
          <w:tcPr>
            <w:tcW w:w="648" w:type="dxa"/>
            <w:shd w:val="clear" w:color="auto" w:fill="DBE5F1" w:themeFill="accent1" w:themeFillTint="33"/>
            <w:vAlign w:val="center"/>
          </w:tcPr>
          <w:p w:rsidR="00C94150" w:rsidRPr="009E1FF0" w:rsidRDefault="00C94150" w:rsidP="001D45EF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%</w:t>
            </w:r>
          </w:p>
        </w:tc>
        <w:tc>
          <w:tcPr>
            <w:tcW w:w="877" w:type="dxa"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pStyle w:val="aa"/>
              <w:tabs>
                <w:tab w:val="left" w:pos="1156"/>
              </w:tabs>
              <w:spacing w:before="0" w:beforeAutospacing="0" w:after="0" w:afterAutospacing="0"/>
              <w:ind w:left="-188" w:right="-143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proofErr w:type="gramStart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млрд</w:t>
            </w:r>
            <w:proofErr w:type="gramEnd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 xml:space="preserve"> рублей</w:t>
            </w:r>
          </w:p>
        </w:tc>
        <w:tc>
          <w:tcPr>
            <w:tcW w:w="733" w:type="dxa"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%</w:t>
            </w:r>
          </w:p>
        </w:tc>
        <w:tc>
          <w:tcPr>
            <w:tcW w:w="877" w:type="dxa"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pStyle w:val="aa"/>
              <w:tabs>
                <w:tab w:val="left" w:pos="1156"/>
              </w:tabs>
              <w:spacing w:before="0" w:beforeAutospacing="0" w:after="0" w:afterAutospacing="0"/>
              <w:ind w:left="-188" w:right="-143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proofErr w:type="gramStart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млрд</w:t>
            </w:r>
            <w:proofErr w:type="gramEnd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 xml:space="preserve"> рублей</w:t>
            </w:r>
          </w:p>
        </w:tc>
        <w:tc>
          <w:tcPr>
            <w:tcW w:w="733" w:type="dxa"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%</w:t>
            </w:r>
          </w:p>
        </w:tc>
        <w:tc>
          <w:tcPr>
            <w:tcW w:w="877" w:type="dxa"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pStyle w:val="aa"/>
              <w:tabs>
                <w:tab w:val="left" w:pos="1156"/>
              </w:tabs>
              <w:spacing w:before="0" w:beforeAutospacing="0" w:after="0" w:afterAutospacing="0"/>
              <w:ind w:left="-188" w:right="-143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proofErr w:type="gramStart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млрд</w:t>
            </w:r>
            <w:proofErr w:type="gramEnd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 xml:space="preserve"> рублей</w:t>
            </w:r>
          </w:p>
        </w:tc>
        <w:tc>
          <w:tcPr>
            <w:tcW w:w="733" w:type="dxa"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%</w:t>
            </w:r>
          </w:p>
        </w:tc>
        <w:tc>
          <w:tcPr>
            <w:tcW w:w="877" w:type="dxa"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pStyle w:val="aa"/>
              <w:tabs>
                <w:tab w:val="left" w:pos="1156"/>
              </w:tabs>
              <w:spacing w:before="0" w:beforeAutospacing="0" w:after="0" w:afterAutospacing="0"/>
              <w:ind w:left="-188" w:right="-143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proofErr w:type="gramStart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млрд</w:t>
            </w:r>
            <w:proofErr w:type="gramEnd"/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 xml:space="preserve"> рублей</w:t>
            </w:r>
          </w:p>
        </w:tc>
        <w:tc>
          <w:tcPr>
            <w:tcW w:w="733" w:type="dxa"/>
            <w:shd w:val="clear" w:color="auto" w:fill="DBE5F1" w:themeFill="accent1" w:themeFillTint="33"/>
            <w:vAlign w:val="center"/>
          </w:tcPr>
          <w:p w:rsidR="00C94150" w:rsidRPr="009E1FF0" w:rsidRDefault="00C94150" w:rsidP="00703B88">
            <w:pPr>
              <w:pStyle w:val="aa"/>
              <w:tabs>
                <w:tab w:val="left" w:pos="1156"/>
              </w:tabs>
              <w:spacing w:before="0" w:beforeAutospacing="0" w:after="0" w:afterAutospacing="0"/>
              <w:jc w:val="center"/>
              <w:textAlignment w:val="baseline"/>
              <w:rPr>
                <w:rFonts w:ascii="PT Astra Serif" w:eastAsiaTheme="minorHAnsi" w:hAnsi="PT Astra Serif"/>
                <w:b/>
                <w:sz w:val="22"/>
                <w:shd w:val="clear" w:color="auto" w:fill="FFFFFF"/>
                <w:lang w:eastAsia="en-US"/>
              </w:rPr>
            </w:pPr>
            <w:r w:rsidRPr="009E1FF0">
              <w:rPr>
                <w:rFonts w:ascii="PT Astra Serif" w:eastAsiaTheme="minorHAnsi" w:hAnsi="PT Astra Serif"/>
                <w:b/>
                <w:sz w:val="22"/>
                <w:shd w:val="clear" w:color="auto" w:fill="DBE5F1" w:themeFill="accent1" w:themeFillTint="33"/>
                <w:lang w:eastAsia="en-US"/>
              </w:rPr>
              <w:t>%</w:t>
            </w:r>
          </w:p>
        </w:tc>
      </w:tr>
      <w:tr w:rsidR="001D45EF" w:rsidRPr="009E1FF0" w:rsidTr="001D45EF">
        <w:tc>
          <w:tcPr>
            <w:tcW w:w="1498" w:type="dxa"/>
            <w:vAlign w:val="center"/>
          </w:tcPr>
          <w:p w:rsidR="001D45EF" w:rsidRPr="009E1FF0" w:rsidRDefault="001D45EF" w:rsidP="001D45EF">
            <w:pPr>
              <w:ind w:left="-108" w:right="-170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9E1FF0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 xml:space="preserve">Расходы </w:t>
            </w:r>
          </w:p>
          <w:p w:rsidR="001D45EF" w:rsidRPr="009E1FF0" w:rsidRDefault="001D45EF" w:rsidP="001D45EF">
            <w:pPr>
              <w:ind w:left="-108" w:right="-170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9E1FF0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141,3</w:t>
            </w:r>
          </w:p>
        </w:tc>
        <w:tc>
          <w:tcPr>
            <w:tcW w:w="648" w:type="dxa"/>
            <w:vAlign w:val="center"/>
          </w:tcPr>
          <w:p w:rsidR="001D45EF" w:rsidRPr="009E1FF0" w:rsidRDefault="001D45EF" w:rsidP="001D45EF">
            <w:pPr>
              <w:ind w:left="-73" w:right="-62"/>
              <w:jc w:val="center"/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  <w:t>100,0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165,0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80" w:right="-153"/>
              <w:jc w:val="center"/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  <w:t>100,0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134,3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89" w:right="-102"/>
              <w:jc w:val="center"/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  <w:t>100,0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40" w:right="-52"/>
              <w:jc w:val="center"/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  <w:t>100,0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124,0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57" w:right="-143"/>
              <w:jc w:val="center"/>
              <w:rPr>
                <w:rFonts w:ascii="PT Astra Serif" w:hAnsi="PT Astra Serif" w:cs="Arial CYR"/>
                <w:b/>
                <w:bCs/>
                <w:i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sz w:val="24"/>
                <w:szCs w:val="24"/>
              </w:rPr>
              <w:t>100,0</w:t>
            </w:r>
          </w:p>
        </w:tc>
      </w:tr>
      <w:tr w:rsidR="001D45EF" w:rsidRPr="009E1FF0" w:rsidTr="001D45EF">
        <w:tc>
          <w:tcPr>
            <w:tcW w:w="1498" w:type="dxa"/>
            <w:vAlign w:val="center"/>
          </w:tcPr>
          <w:p w:rsidR="001D45EF" w:rsidRPr="009E1FF0" w:rsidRDefault="001D45EF" w:rsidP="001D45EF">
            <w:pPr>
              <w:ind w:left="-108" w:right="-17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/>
                <w:b/>
                <w:bCs/>
                <w:sz w:val="24"/>
                <w:szCs w:val="24"/>
              </w:rPr>
              <w:t>Социальная сфера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99,8</w:t>
            </w:r>
          </w:p>
        </w:tc>
        <w:tc>
          <w:tcPr>
            <w:tcW w:w="648" w:type="dxa"/>
            <w:vAlign w:val="center"/>
          </w:tcPr>
          <w:p w:rsidR="001D45EF" w:rsidRPr="009E1FF0" w:rsidRDefault="001D45EF" w:rsidP="001D45EF">
            <w:pPr>
              <w:ind w:left="-73" w:right="-62"/>
              <w:jc w:val="center"/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  <w:t>70,6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109,6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80" w:right="-153"/>
              <w:jc w:val="center"/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  <w:t>66,4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91,7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89" w:right="-102"/>
              <w:jc w:val="center"/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  <w:t>68,3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87,5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40" w:right="-52"/>
              <w:jc w:val="center"/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iCs/>
                <w:sz w:val="24"/>
                <w:szCs w:val="24"/>
              </w:rPr>
              <w:t>65,8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57" w:right="-143"/>
              <w:jc w:val="center"/>
              <w:rPr>
                <w:rFonts w:ascii="PT Astra Serif" w:hAnsi="PT Astra Serif" w:cs="Arial CYR"/>
                <w:b/>
                <w:bCs/>
                <w:i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b/>
                <w:bCs/>
                <w:i/>
                <w:sz w:val="24"/>
                <w:szCs w:val="24"/>
              </w:rPr>
              <w:t>66,3</w:t>
            </w:r>
          </w:p>
        </w:tc>
      </w:tr>
      <w:tr w:rsidR="001D45EF" w:rsidRPr="009E1FF0" w:rsidTr="001D45EF">
        <w:trPr>
          <w:trHeight w:val="479"/>
        </w:trPr>
        <w:tc>
          <w:tcPr>
            <w:tcW w:w="1498" w:type="dxa"/>
            <w:vAlign w:val="center"/>
          </w:tcPr>
          <w:p w:rsidR="001D45EF" w:rsidRPr="009E1FF0" w:rsidRDefault="001D45EF" w:rsidP="001D45EF">
            <w:pPr>
              <w:ind w:left="-108" w:right="-170"/>
              <w:rPr>
                <w:rFonts w:ascii="PT Astra Serif" w:hAnsi="PT Astra Serif"/>
                <w:sz w:val="24"/>
                <w:szCs w:val="24"/>
              </w:rPr>
            </w:pPr>
            <w:r w:rsidRPr="009E1FF0">
              <w:rPr>
                <w:rFonts w:ascii="PT Astra Serif" w:hAnsi="PT Astra Serif"/>
                <w:sz w:val="24"/>
                <w:szCs w:val="24"/>
              </w:rPr>
              <w:t>Образование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32,1</w:t>
            </w:r>
          </w:p>
        </w:tc>
        <w:tc>
          <w:tcPr>
            <w:tcW w:w="648" w:type="dxa"/>
            <w:vAlign w:val="center"/>
          </w:tcPr>
          <w:p w:rsidR="001D45EF" w:rsidRPr="009E1FF0" w:rsidRDefault="001D45EF" w:rsidP="001D45EF">
            <w:pPr>
              <w:ind w:left="-73" w:right="-6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22,7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36,7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80" w:right="-153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22,2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36,0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89" w:right="-10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26,8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34,8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40" w:right="-5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26,2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33,2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57" w:right="-143"/>
              <w:jc w:val="center"/>
              <w:rPr>
                <w:rFonts w:ascii="PT Astra Serif" w:hAnsi="PT Astra Serif" w:cs="Arial CYR"/>
                <w:i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sz w:val="24"/>
                <w:szCs w:val="24"/>
              </w:rPr>
              <w:t>26,8</w:t>
            </w:r>
          </w:p>
        </w:tc>
      </w:tr>
      <w:tr w:rsidR="001D45EF" w:rsidRPr="009E1FF0" w:rsidTr="001D45EF">
        <w:tc>
          <w:tcPr>
            <w:tcW w:w="1498" w:type="dxa"/>
            <w:vAlign w:val="center"/>
          </w:tcPr>
          <w:p w:rsidR="001D45EF" w:rsidRPr="009E1FF0" w:rsidRDefault="001D45EF" w:rsidP="001D45EF">
            <w:pPr>
              <w:ind w:left="-108" w:right="-170"/>
              <w:rPr>
                <w:rFonts w:ascii="PT Astra Serif" w:hAnsi="PT Astra Serif"/>
                <w:sz w:val="24"/>
                <w:szCs w:val="24"/>
              </w:rPr>
            </w:pPr>
            <w:r w:rsidRPr="009E1FF0">
              <w:rPr>
                <w:rFonts w:ascii="PT Astra Serif" w:hAnsi="PT Astra Serif"/>
                <w:sz w:val="24"/>
                <w:szCs w:val="24"/>
              </w:rPr>
              <w:t xml:space="preserve">Культура, </w:t>
            </w:r>
            <w:proofErr w:type="gramStart"/>
            <w:r w:rsidRPr="009E1FF0">
              <w:rPr>
                <w:rFonts w:ascii="PT Astra Serif" w:hAnsi="PT Astra Serif"/>
                <w:sz w:val="24"/>
                <w:szCs w:val="24"/>
              </w:rPr>
              <w:t>кинемато-графия</w:t>
            </w:r>
            <w:proofErr w:type="gramEnd"/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2,5</w:t>
            </w:r>
          </w:p>
        </w:tc>
        <w:tc>
          <w:tcPr>
            <w:tcW w:w="648" w:type="dxa"/>
            <w:vAlign w:val="center"/>
          </w:tcPr>
          <w:p w:rsidR="001D45EF" w:rsidRPr="009E1FF0" w:rsidRDefault="001D45EF" w:rsidP="001D45EF">
            <w:pPr>
              <w:ind w:left="-73" w:right="-6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1,8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4,2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80" w:right="-153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2,5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1,9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89" w:right="-10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1,4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1,8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40" w:right="-5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1,3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1,6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57" w:right="-143"/>
              <w:jc w:val="center"/>
              <w:rPr>
                <w:rFonts w:ascii="PT Astra Serif" w:hAnsi="PT Astra Serif" w:cs="Arial CYR"/>
                <w:i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sz w:val="24"/>
                <w:szCs w:val="24"/>
              </w:rPr>
              <w:t>1,3</w:t>
            </w:r>
          </w:p>
        </w:tc>
      </w:tr>
      <w:tr w:rsidR="001D45EF" w:rsidRPr="009E1FF0" w:rsidTr="001D45EF">
        <w:tc>
          <w:tcPr>
            <w:tcW w:w="1498" w:type="dxa"/>
            <w:vAlign w:val="center"/>
          </w:tcPr>
          <w:p w:rsidR="001D45EF" w:rsidRPr="009E1FF0" w:rsidRDefault="001D45EF" w:rsidP="001D45EF">
            <w:pPr>
              <w:ind w:left="-108" w:right="-170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9E1FF0">
              <w:rPr>
                <w:rFonts w:ascii="PT Astra Serif" w:hAnsi="PT Astra Serif"/>
                <w:sz w:val="24"/>
                <w:szCs w:val="24"/>
              </w:rPr>
              <w:t>Здравоохра-нение</w:t>
            </w:r>
            <w:proofErr w:type="gramEnd"/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20,9</w:t>
            </w:r>
          </w:p>
        </w:tc>
        <w:tc>
          <w:tcPr>
            <w:tcW w:w="648" w:type="dxa"/>
            <w:vAlign w:val="center"/>
          </w:tcPr>
          <w:p w:rsidR="001D45EF" w:rsidRPr="009E1FF0" w:rsidRDefault="001D45EF" w:rsidP="001D45EF">
            <w:pPr>
              <w:ind w:left="-73" w:right="-6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14,8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20,4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80" w:right="-153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12,4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12,9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89" w:right="-10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9,6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12,3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40" w:right="-5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9,3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8,6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57" w:right="-143"/>
              <w:jc w:val="center"/>
              <w:rPr>
                <w:rFonts w:ascii="PT Astra Serif" w:hAnsi="PT Astra Serif" w:cs="Arial CYR"/>
                <w:i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sz w:val="24"/>
                <w:szCs w:val="24"/>
              </w:rPr>
              <w:t>6,9</w:t>
            </w:r>
          </w:p>
        </w:tc>
      </w:tr>
      <w:tr w:rsidR="001D45EF" w:rsidRPr="009E1FF0" w:rsidTr="001D45EF">
        <w:tc>
          <w:tcPr>
            <w:tcW w:w="1498" w:type="dxa"/>
            <w:vAlign w:val="center"/>
          </w:tcPr>
          <w:p w:rsidR="001D45EF" w:rsidRPr="009E1FF0" w:rsidRDefault="001D45EF" w:rsidP="001D45EF">
            <w:pPr>
              <w:ind w:left="-108" w:right="-170"/>
              <w:rPr>
                <w:rFonts w:ascii="PT Astra Serif" w:hAnsi="PT Astra Serif"/>
                <w:sz w:val="24"/>
                <w:szCs w:val="24"/>
              </w:rPr>
            </w:pPr>
            <w:r w:rsidRPr="009E1FF0">
              <w:rPr>
                <w:rFonts w:ascii="PT Astra Serif" w:hAnsi="PT Astra Serif"/>
                <w:sz w:val="24"/>
                <w:szCs w:val="24"/>
              </w:rPr>
              <w:t>Социальная политика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42,3</w:t>
            </w:r>
          </w:p>
        </w:tc>
        <w:tc>
          <w:tcPr>
            <w:tcW w:w="648" w:type="dxa"/>
            <w:vAlign w:val="center"/>
          </w:tcPr>
          <w:p w:rsidR="001D45EF" w:rsidRPr="009E1FF0" w:rsidRDefault="001D45EF" w:rsidP="001D45EF">
            <w:pPr>
              <w:ind w:left="-73" w:right="-6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29,9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45,7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80" w:right="-153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27,7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39,3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89" w:right="-10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29,3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37,1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40" w:right="-5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27,9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37,3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57" w:right="-143"/>
              <w:jc w:val="center"/>
              <w:rPr>
                <w:rFonts w:ascii="PT Astra Serif" w:hAnsi="PT Astra Serif" w:cs="Arial CYR"/>
                <w:i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sz w:val="24"/>
                <w:szCs w:val="24"/>
              </w:rPr>
              <w:t>30,1</w:t>
            </w:r>
          </w:p>
        </w:tc>
      </w:tr>
      <w:tr w:rsidR="001D45EF" w:rsidRPr="009E1FF0" w:rsidTr="001D45EF">
        <w:tc>
          <w:tcPr>
            <w:tcW w:w="1498" w:type="dxa"/>
            <w:vAlign w:val="center"/>
          </w:tcPr>
          <w:p w:rsidR="001D45EF" w:rsidRPr="009E1FF0" w:rsidRDefault="001D45EF" w:rsidP="001D45EF">
            <w:pPr>
              <w:ind w:left="-108" w:right="-170"/>
              <w:rPr>
                <w:rFonts w:ascii="PT Astra Serif" w:hAnsi="PT Astra Serif"/>
                <w:sz w:val="24"/>
                <w:szCs w:val="24"/>
              </w:rPr>
            </w:pPr>
            <w:r w:rsidRPr="009E1FF0">
              <w:rPr>
                <w:rFonts w:ascii="PT Astra Serif" w:hAnsi="PT Astra Serif"/>
                <w:sz w:val="24"/>
                <w:szCs w:val="24"/>
              </w:rPr>
              <w:t>Физкультура</w:t>
            </w:r>
          </w:p>
          <w:p w:rsidR="001D45EF" w:rsidRPr="009E1FF0" w:rsidRDefault="001D45EF" w:rsidP="001D45EF">
            <w:pPr>
              <w:ind w:left="-108" w:right="-170"/>
              <w:rPr>
                <w:rFonts w:ascii="PT Astra Serif" w:hAnsi="PT Astra Serif"/>
                <w:sz w:val="24"/>
                <w:szCs w:val="24"/>
              </w:rPr>
            </w:pPr>
            <w:r w:rsidRPr="009E1FF0">
              <w:rPr>
                <w:rFonts w:ascii="PT Astra Serif" w:hAnsi="PT Astra Serif"/>
                <w:sz w:val="24"/>
                <w:szCs w:val="24"/>
              </w:rPr>
              <w:t>и спорт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1,9</w:t>
            </w:r>
          </w:p>
        </w:tc>
        <w:tc>
          <w:tcPr>
            <w:tcW w:w="648" w:type="dxa"/>
            <w:vAlign w:val="center"/>
          </w:tcPr>
          <w:p w:rsidR="001D45EF" w:rsidRPr="009E1FF0" w:rsidRDefault="001D45EF" w:rsidP="001D45EF">
            <w:pPr>
              <w:ind w:left="-73" w:right="-6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1,3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2,5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80" w:right="-153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1,5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1,4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89" w:right="-10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1,0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1,3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40" w:right="-5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1,0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1,3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57" w:right="-143"/>
              <w:jc w:val="center"/>
              <w:rPr>
                <w:rFonts w:ascii="PT Astra Serif" w:hAnsi="PT Astra Serif" w:cs="Arial CYR"/>
                <w:i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sz w:val="24"/>
                <w:szCs w:val="24"/>
              </w:rPr>
              <w:t>1,1</w:t>
            </w:r>
          </w:p>
        </w:tc>
      </w:tr>
      <w:tr w:rsidR="001D45EF" w:rsidRPr="009E1FF0" w:rsidTr="001D45EF">
        <w:tc>
          <w:tcPr>
            <w:tcW w:w="1498" w:type="dxa"/>
            <w:vAlign w:val="center"/>
          </w:tcPr>
          <w:p w:rsidR="001D45EF" w:rsidRPr="009E1FF0" w:rsidRDefault="001D45EF" w:rsidP="001D45EF">
            <w:pPr>
              <w:ind w:left="-108" w:right="-170"/>
              <w:rPr>
                <w:rFonts w:ascii="PT Astra Serif" w:hAnsi="PT Astra Serif"/>
                <w:sz w:val="24"/>
                <w:szCs w:val="24"/>
              </w:rPr>
            </w:pPr>
            <w:r w:rsidRPr="009E1FF0">
              <w:rPr>
                <w:rFonts w:ascii="PT Astra Serif" w:hAnsi="PT Astra Serif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0,1</w:t>
            </w:r>
          </w:p>
        </w:tc>
        <w:tc>
          <w:tcPr>
            <w:tcW w:w="648" w:type="dxa"/>
            <w:vAlign w:val="center"/>
          </w:tcPr>
          <w:p w:rsidR="001D45EF" w:rsidRPr="009E1FF0" w:rsidRDefault="001D45EF" w:rsidP="001D45EF">
            <w:pPr>
              <w:ind w:left="-73" w:right="-6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0,1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0,2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80" w:right="-153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0,1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0,2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89" w:right="-10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0,1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0,2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140" w:right="-52"/>
              <w:jc w:val="center"/>
              <w:rPr>
                <w:rFonts w:ascii="PT Astra Serif" w:hAnsi="PT Astra Serif" w:cs="Arial CYR"/>
                <w:i/>
                <w:iCs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iCs/>
                <w:sz w:val="24"/>
                <w:szCs w:val="24"/>
              </w:rPr>
              <w:t>0,1</w:t>
            </w:r>
          </w:p>
        </w:tc>
        <w:tc>
          <w:tcPr>
            <w:tcW w:w="877" w:type="dxa"/>
            <w:vAlign w:val="center"/>
          </w:tcPr>
          <w:p w:rsidR="001D45EF" w:rsidRPr="009E1FF0" w:rsidRDefault="001D45EF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sz w:val="24"/>
                <w:szCs w:val="24"/>
              </w:rPr>
              <w:t>0,2</w:t>
            </w:r>
          </w:p>
        </w:tc>
        <w:tc>
          <w:tcPr>
            <w:tcW w:w="733" w:type="dxa"/>
            <w:vAlign w:val="center"/>
          </w:tcPr>
          <w:p w:rsidR="001D45EF" w:rsidRPr="009E1FF0" w:rsidRDefault="001D45EF" w:rsidP="001D45EF">
            <w:pPr>
              <w:ind w:left="-57" w:right="-143"/>
              <w:jc w:val="center"/>
              <w:rPr>
                <w:rFonts w:ascii="PT Astra Serif" w:hAnsi="PT Astra Serif" w:cs="Arial CYR"/>
                <w:i/>
                <w:sz w:val="24"/>
                <w:szCs w:val="24"/>
              </w:rPr>
            </w:pPr>
            <w:r w:rsidRPr="009E1FF0">
              <w:rPr>
                <w:rFonts w:ascii="PT Astra Serif" w:hAnsi="PT Astra Serif" w:cs="Arial CYR"/>
                <w:i/>
                <w:sz w:val="24"/>
                <w:szCs w:val="24"/>
              </w:rPr>
              <w:t>0,1</w:t>
            </w:r>
          </w:p>
        </w:tc>
      </w:tr>
    </w:tbl>
    <w:p w:rsidR="002322A8" w:rsidRPr="009E1FF0" w:rsidRDefault="002322A8" w:rsidP="002322A8">
      <w:pPr>
        <w:pStyle w:val="aa"/>
        <w:tabs>
          <w:tab w:val="left" w:pos="1156"/>
        </w:tabs>
        <w:spacing w:before="0" w:beforeAutospacing="0" w:after="0" w:afterAutospacing="0"/>
        <w:jc w:val="both"/>
        <w:textAlignment w:val="baseline"/>
        <w:rPr>
          <w:rFonts w:ascii="PT Astra Serif" w:eastAsiaTheme="minorHAnsi" w:hAnsi="PT Astra Serif"/>
          <w:b/>
          <w:sz w:val="28"/>
          <w:szCs w:val="28"/>
          <w:shd w:val="clear" w:color="auto" w:fill="FFFFFF"/>
          <w:lang w:eastAsia="en-US"/>
        </w:rPr>
      </w:pPr>
    </w:p>
    <w:p w:rsidR="00B73E81" w:rsidRDefault="001A1174" w:rsidP="00525F45">
      <w:pPr>
        <w:tabs>
          <w:tab w:val="left" w:pos="80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E1FF0">
        <w:rPr>
          <w:rFonts w:ascii="PT Astra Serif" w:hAnsi="PT Astra Serif" w:cs="Times New Roman"/>
          <w:sz w:val="28"/>
          <w:szCs w:val="28"/>
        </w:rPr>
        <w:lastRenderedPageBreak/>
        <w:t>Расходы на поддержку экономик</w:t>
      </w:r>
      <w:r w:rsidR="000F686B" w:rsidRPr="009E1FF0">
        <w:rPr>
          <w:rFonts w:ascii="PT Astra Serif" w:hAnsi="PT Astra Serif" w:cs="Times New Roman"/>
          <w:sz w:val="28"/>
          <w:szCs w:val="28"/>
        </w:rPr>
        <w:t>и</w:t>
      </w:r>
      <w:r w:rsidRPr="009E1FF0">
        <w:rPr>
          <w:rFonts w:ascii="PT Astra Serif" w:hAnsi="PT Astra Serif" w:cs="Times New Roman"/>
          <w:sz w:val="28"/>
          <w:szCs w:val="28"/>
        </w:rPr>
        <w:t xml:space="preserve"> запланированы в размере </w:t>
      </w:r>
      <w:r w:rsidR="003144C2" w:rsidRPr="009E1FF0">
        <w:rPr>
          <w:rFonts w:ascii="PT Astra Serif" w:hAnsi="PT Astra Serif" w:cs="Times New Roman"/>
          <w:sz w:val="28"/>
          <w:szCs w:val="28"/>
        </w:rPr>
        <w:t>22</w:t>
      </w:r>
      <w:r w:rsidRPr="009E1FF0">
        <w:rPr>
          <w:rFonts w:ascii="PT Astra Serif" w:hAnsi="PT Astra Serif" w:cs="Times New Roman"/>
          <w:sz w:val="28"/>
          <w:szCs w:val="28"/>
        </w:rPr>
        <w:t>,</w:t>
      </w:r>
      <w:r w:rsidR="003144C2" w:rsidRPr="009E1FF0">
        <w:rPr>
          <w:rFonts w:ascii="PT Astra Serif" w:hAnsi="PT Astra Serif" w:cs="Times New Roman"/>
          <w:sz w:val="28"/>
          <w:szCs w:val="28"/>
        </w:rPr>
        <w:t>8</w:t>
      </w:r>
      <w:r w:rsidRPr="009E1FF0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9E1FF0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9E1FF0">
        <w:rPr>
          <w:rFonts w:ascii="PT Astra Serif" w:hAnsi="PT Astra Serif" w:cs="Times New Roman"/>
          <w:sz w:val="28"/>
          <w:szCs w:val="28"/>
        </w:rPr>
        <w:t xml:space="preserve"> руб</w:t>
      </w:r>
      <w:r w:rsidR="0018790E" w:rsidRPr="009E1FF0">
        <w:rPr>
          <w:rFonts w:ascii="PT Astra Serif" w:hAnsi="PT Astra Serif" w:cs="Times New Roman"/>
          <w:sz w:val="28"/>
          <w:szCs w:val="28"/>
        </w:rPr>
        <w:t>лей,</w:t>
      </w:r>
      <w:r w:rsidRPr="009E1FF0">
        <w:rPr>
          <w:rFonts w:ascii="PT Astra Serif" w:hAnsi="PT Astra Serif" w:cs="Times New Roman"/>
          <w:sz w:val="28"/>
          <w:szCs w:val="28"/>
        </w:rPr>
        <w:t xml:space="preserve"> или 1</w:t>
      </w:r>
      <w:r w:rsidR="0018790E" w:rsidRPr="009E1FF0">
        <w:rPr>
          <w:rFonts w:ascii="PT Astra Serif" w:hAnsi="PT Astra Serif" w:cs="Times New Roman"/>
          <w:sz w:val="28"/>
          <w:szCs w:val="28"/>
        </w:rPr>
        <w:t>7</w:t>
      </w:r>
      <w:r w:rsidRPr="009E1FF0">
        <w:rPr>
          <w:rFonts w:ascii="PT Astra Serif" w:hAnsi="PT Astra Serif" w:cs="Times New Roman"/>
          <w:sz w:val="28"/>
          <w:szCs w:val="28"/>
        </w:rPr>
        <w:t xml:space="preserve">% </w:t>
      </w:r>
      <w:r w:rsidR="0018790E" w:rsidRPr="009E1FF0">
        <w:rPr>
          <w:rFonts w:ascii="PT Astra Serif" w:hAnsi="PT Astra Serif" w:cs="Times New Roman"/>
          <w:sz w:val="28"/>
          <w:szCs w:val="28"/>
        </w:rPr>
        <w:t xml:space="preserve">от совокупных расходов </w:t>
      </w:r>
      <w:r w:rsidR="00437568" w:rsidRPr="009E1FF0">
        <w:rPr>
          <w:rFonts w:ascii="PT Astra Serif" w:hAnsi="PT Astra Serif" w:cs="Times New Roman"/>
          <w:sz w:val="28"/>
          <w:szCs w:val="28"/>
        </w:rPr>
        <w:t xml:space="preserve">областного </w:t>
      </w:r>
      <w:r w:rsidR="0018790E" w:rsidRPr="009E1FF0">
        <w:rPr>
          <w:rFonts w:ascii="PT Astra Serif" w:hAnsi="PT Astra Serif" w:cs="Times New Roman"/>
          <w:sz w:val="28"/>
          <w:szCs w:val="28"/>
        </w:rPr>
        <w:t>бюджета</w:t>
      </w:r>
      <w:r w:rsidRPr="009E1FF0">
        <w:rPr>
          <w:rFonts w:ascii="PT Astra Serif" w:hAnsi="PT Astra Serif" w:cs="Times New Roman"/>
          <w:sz w:val="28"/>
          <w:szCs w:val="28"/>
        </w:rPr>
        <w:t>.</w:t>
      </w:r>
    </w:p>
    <w:p w:rsidR="000F686B" w:rsidRPr="00525F45" w:rsidRDefault="001A1174" w:rsidP="00525F45">
      <w:pPr>
        <w:tabs>
          <w:tab w:val="left" w:pos="80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highlight w:val="yellow"/>
        </w:rPr>
      </w:pPr>
      <w:r w:rsidRPr="009E1FF0">
        <w:rPr>
          <w:rFonts w:ascii="PT Astra Serif" w:hAnsi="PT Astra Serif" w:cs="Times New Roman"/>
          <w:sz w:val="28"/>
          <w:szCs w:val="28"/>
        </w:rPr>
        <w:t xml:space="preserve">Общегосударственные вопросы </w:t>
      </w:r>
      <w:r w:rsidR="0018790E" w:rsidRPr="009E1FF0">
        <w:rPr>
          <w:rFonts w:ascii="PT Astra Serif" w:hAnsi="PT Astra Serif" w:cs="Times New Roman"/>
          <w:sz w:val="28"/>
          <w:szCs w:val="28"/>
        </w:rPr>
        <w:t xml:space="preserve">на предстоящий год утверждены в размере 10,2 </w:t>
      </w:r>
      <w:proofErr w:type="gramStart"/>
      <w:r w:rsidR="0018790E" w:rsidRPr="009E1FF0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="0018790E" w:rsidRPr="009E1FF0">
        <w:rPr>
          <w:rFonts w:ascii="PT Astra Serif" w:hAnsi="PT Astra Serif" w:cs="Times New Roman"/>
          <w:sz w:val="28"/>
          <w:szCs w:val="28"/>
        </w:rPr>
        <w:t xml:space="preserve"> рублей, </w:t>
      </w:r>
      <w:r w:rsidR="000F686B" w:rsidRPr="009E1FF0">
        <w:rPr>
          <w:rFonts w:ascii="PT Astra Serif" w:hAnsi="PT Astra Serif" w:cs="Times New Roman"/>
          <w:sz w:val="28"/>
          <w:szCs w:val="28"/>
        </w:rPr>
        <w:t>или</w:t>
      </w:r>
      <w:r w:rsidR="0018790E" w:rsidRPr="009E1FF0">
        <w:rPr>
          <w:rFonts w:ascii="PT Astra Serif" w:hAnsi="PT Astra Serif" w:cs="Times New Roman"/>
          <w:sz w:val="28"/>
          <w:szCs w:val="28"/>
        </w:rPr>
        <w:t xml:space="preserve"> </w:t>
      </w:r>
      <w:r w:rsidR="000F686B" w:rsidRPr="009E1FF0">
        <w:rPr>
          <w:rFonts w:ascii="PT Astra Serif" w:hAnsi="PT Astra Serif" w:cs="Times New Roman"/>
          <w:sz w:val="28"/>
          <w:szCs w:val="28"/>
        </w:rPr>
        <w:t>7,6%</w:t>
      </w:r>
      <w:r w:rsidR="0002458F" w:rsidRPr="009E1FF0">
        <w:rPr>
          <w:rFonts w:ascii="PT Astra Serif" w:hAnsi="PT Astra Serif" w:cs="Times New Roman"/>
          <w:sz w:val="28"/>
          <w:szCs w:val="28"/>
        </w:rPr>
        <w:t xml:space="preserve"> 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в общей сумме </w:t>
      </w:r>
      <w:r w:rsidR="000F686B" w:rsidRPr="00525F45">
        <w:rPr>
          <w:rFonts w:ascii="PT Astra Serif" w:hAnsi="PT Astra Serif" w:cs="Times New Roman"/>
          <w:sz w:val="28"/>
          <w:szCs w:val="28"/>
        </w:rPr>
        <w:t>расходов.</w:t>
      </w:r>
      <w:r w:rsidR="00525F45" w:rsidRPr="00525F45">
        <w:rPr>
          <w:rFonts w:ascii="PT Astra Serif" w:hAnsi="PT Astra Serif" w:cs="Times New Roman"/>
          <w:sz w:val="28"/>
          <w:szCs w:val="28"/>
        </w:rPr>
        <w:t xml:space="preserve"> </w:t>
      </w:r>
      <w:r w:rsidR="000F686B" w:rsidRPr="00525F45">
        <w:rPr>
          <w:rFonts w:ascii="PT Astra Serif" w:hAnsi="PT Astra Serif" w:cs="Times New Roman"/>
          <w:sz w:val="28"/>
          <w:szCs w:val="28"/>
        </w:rPr>
        <w:t>В том числе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 зарезервированы средства на реализацию мероприятий национальных проектов и государственных программ Российской Федерации, сохранение</w:t>
      </w:r>
      <w:r w:rsidR="000F686B" w:rsidRPr="009E1FF0">
        <w:rPr>
          <w:rFonts w:ascii="PT Astra Serif" w:hAnsi="PT Astra Serif"/>
          <w:sz w:val="28"/>
          <w:szCs w:val="28"/>
        </w:rPr>
        <w:t xml:space="preserve"> 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целевых ориентиров по заработной плате отдельных категорий работников бюджетной сферы, </w:t>
      </w:r>
      <w:r w:rsidR="00B73E81">
        <w:rPr>
          <w:rFonts w:ascii="PT Astra Serif" w:hAnsi="PT Astra Serif" w:cs="Times New Roman"/>
          <w:sz w:val="28"/>
          <w:szCs w:val="28"/>
        </w:rPr>
        <w:t>определенных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 Указами Президента Российской Федерации 2012 года, </w:t>
      </w:r>
      <w:r w:rsidR="009E1FF0" w:rsidRPr="009E1FF0">
        <w:rPr>
          <w:rFonts w:ascii="PT Astra Serif" w:hAnsi="PT Astra Serif" w:cs="Times New Roman"/>
          <w:sz w:val="28"/>
          <w:szCs w:val="28"/>
        </w:rPr>
        <w:t>обеспечени</w:t>
      </w:r>
      <w:r w:rsidR="00525F45">
        <w:rPr>
          <w:rFonts w:ascii="PT Astra Serif" w:hAnsi="PT Astra Serif" w:cs="Times New Roman"/>
          <w:sz w:val="28"/>
          <w:szCs w:val="28"/>
        </w:rPr>
        <w:t>е</w:t>
      </w:r>
      <w:r w:rsidR="009E1FF0" w:rsidRPr="009E1FF0">
        <w:rPr>
          <w:rFonts w:ascii="PT Astra Serif" w:hAnsi="PT Astra Serif" w:cs="Times New Roman"/>
          <w:sz w:val="28"/>
          <w:szCs w:val="28"/>
        </w:rPr>
        <w:t xml:space="preserve"> минимального </w:t>
      </w:r>
      <w:proofErr w:type="gramStart"/>
      <w:r w:rsidR="009E1FF0" w:rsidRPr="009E1FF0">
        <w:rPr>
          <w:rFonts w:ascii="PT Astra Serif" w:hAnsi="PT Astra Serif" w:cs="Times New Roman"/>
          <w:sz w:val="28"/>
          <w:szCs w:val="28"/>
        </w:rPr>
        <w:t>размера оплаты труда</w:t>
      </w:r>
      <w:proofErr w:type="gramEnd"/>
      <w:r w:rsidR="009E1FF0" w:rsidRPr="009E1FF0">
        <w:rPr>
          <w:rFonts w:ascii="PT Astra Serif" w:hAnsi="PT Astra Serif" w:cs="Times New Roman"/>
          <w:sz w:val="28"/>
          <w:szCs w:val="28"/>
        </w:rPr>
        <w:t xml:space="preserve">, установленного на федеральном уровне, 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и финансирование </w:t>
      </w:r>
      <w:r w:rsidR="00525F45">
        <w:rPr>
          <w:rFonts w:ascii="PT Astra Serif" w:hAnsi="PT Astra Serif" w:cs="Times New Roman"/>
          <w:sz w:val="28"/>
          <w:szCs w:val="28"/>
        </w:rPr>
        <w:t>других</w:t>
      </w:r>
      <w:r w:rsidR="000F686B" w:rsidRPr="009E1FF0">
        <w:rPr>
          <w:rFonts w:ascii="PT Astra Serif" w:hAnsi="PT Astra Serif" w:cs="Times New Roman"/>
          <w:sz w:val="28"/>
          <w:szCs w:val="28"/>
        </w:rPr>
        <w:t xml:space="preserve"> социально значимых направлений.</w:t>
      </w:r>
    </w:p>
    <w:p w:rsidR="001A1174" w:rsidRPr="009E1FF0" w:rsidRDefault="00005FE0" w:rsidP="000F6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E1FF0">
        <w:rPr>
          <w:rFonts w:ascii="PT Astra Serif" w:hAnsi="PT Astra Serif" w:cs="Times New Roman"/>
          <w:sz w:val="28"/>
          <w:szCs w:val="28"/>
        </w:rPr>
        <w:t xml:space="preserve">Расходы области на исполнение публичных нормативных обязательств </w:t>
      </w:r>
      <w:r w:rsidR="00F75EEB" w:rsidRPr="009E1FF0">
        <w:rPr>
          <w:rFonts w:ascii="PT Astra Serif" w:hAnsi="PT Astra Serif" w:cs="Times New Roman"/>
          <w:sz w:val="28"/>
          <w:szCs w:val="28"/>
        </w:rPr>
        <w:t xml:space="preserve">области и иные социальные выплаты гражданам </w:t>
      </w:r>
      <w:r w:rsidRPr="009E1FF0">
        <w:rPr>
          <w:rFonts w:ascii="PT Astra Serif" w:hAnsi="PT Astra Serif" w:cs="Times New Roman"/>
          <w:sz w:val="28"/>
          <w:szCs w:val="28"/>
        </w:rPr>
        <w:t>уст</w:t>
      </w:r>
      <w:r w:rsidR="00F75EEB" w:rsidRPr="009E1FF0">
        <w:rPr>
          <w:rFonts w:ascii="PT Astra Serif" w:hAnsi="PT Astra Serif" w:cs="Times New Roman"/>
          <w:sz w:val="28"/>
          <w:szCs w:val="28"/>
        </w:rPr>
        <w:t xml:space="preserve">ановлены на 2023 год в размере </w:t>
      </w:r>
      <w:r w:rsidRPr="009E1FF0">
        <w:rPr>
          <w:rFonts w:ascii="PT Astra Serif" w:hAnsi="PT Astra Serif" w:cs="Times New Roman"/>
          <w:sz w:val="28"/>
          <w:szCs w:val="28"/>
        </w:rPr>
        <w:t xml:space="preserve">более </w:t>
      </w:r>
      <w:r w:rsidR="00F75EEB" w:rsidRPr="009E1FF0">
        <w:rPr>
          <w:rFonts w:ascii="PT Astra Serif" w:hAnsi="PT Astra Serif" w:cs="Times New Roman"/>
          <w:sz w:val="28"/>
          <w:szCs w:val="28"/>
        </w:rPr>
        <w:t>18</w:t>
      </w:r>
      <w:r w:rsidRPr="009E1FF0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9E1FF0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="0018790E" w:rsidRPr="009E1FF0">
        <w:rPr>
          <w:rFonts w:ascii="PT Astra Serif" w:hAnsi="PT Astra Serif" w:cs="Times New Roman"/>
          <w:sz w:val="28"/>
          <w:szCs w:val="28"/>
        </w:rPr>
        <w:t xml:space="preserve"> </w:t>
      </w:r>
      <w:r w:rsidRPr="009E1FF0">
        <w:rPr>
          <w:rFonts w:ascii="PT Astra Serif" w:hAnsi="PT Astra Serif" w:cs="Times New Roman"/>
          <w:sz w:val="28"/>
          <w:szCs w:val="28"/>
        </w:rPr>
        <w:t>руб</w:t>
      </w:r>
      <w:r w:rsidR="00F75EEB" w:rsidRPr="009E1FF0">
        <w:rPr>
          <w:rFonts w:ascii="PT Astra Serif" w:hAnsi="PT Astra Serif" w:cs="Times New Roman"/>
          <w:sz w:val="28"/>
          <w:szCs w:val="28"/>
        </w:rPr>
        <w:t>лей.</w:t>
      </w:r>
      <w:r w:rsidRPr="009E1FF0">
        <w:rPr>
          <w:rFonts w:ascii="PT Astra Serif" w:hAnsi="PT Astra Serif" w:cs="Times New Roman"/>
          <w:sz w:val="28"/>
          <w:szCs w:val="28"/>
        </w:rPr>
        <w:t xml:space="preserve"> </w:t>
      </w:r>
      <w:r w:rsidR="00F75EEB" w:rsidRPr="009E1FF0">
        <w:rPr>
          <w:rFonts w:ascii="PT Astra Serif" w:hAnsi="PT Astra Serif" w:cs="Times New Roman"/>
          <w:sz w:val="28"/>
          <w:szCs w:val="28"/>
        </w:rPr>
        <w:t>И</w:t>
      </w:r>
      <w:r w:rsidRPr="009E1FF0">
        <w:rPr>
          <w:rFonts w:ascii="PT Astra Serif" w:hAnsi="PT Astra Serif" w:cs="Times New Roman"/>
          <w:sz w:val="28"/>
          <w:szCs w:val="28"/>
        </w:rPr>
        <w:t xml:space="preserve">з них большая часть </w:t>
      </w:r>
      <w:r w:rsidR="00F75EEB" w:rsidRPr="009E1FF0">
        <w:rPr>
          <w:rFonts w:ascii="PT Astra Serif" w:hAnsi="PT Astra Serif" w:cs="Times New Roman"/>
          <w:sz w:val="28"/>
          <w:szCs w:val="28"/>
        </w:rPr>
        <w:t xml:space="preserve">– 7,9 </w:t>
      </w:r>
      <w:proofErr w:type="gramStart"/>
      <w:r w:rsidR="00F75EEB" w:rsidRPr="009E1FF0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="00F75EEB" w:rsidRPr="009E1FF0">
        <w:rPr>
          <w:rFonts w:ascii="PT Astra Serif" w:hAnsi="PT Astra Serif" w:cs="Times New Roman"/>
          <w:sz w:val="28"/>
          <w:szCs w:val="28"/>
        </w:rPr>
        <w:t xml:space="preserve"> рублей</w:t>
      </w:r>
      <w:r w:rsidR="007E30E7" w:rsidRPr="009E1FF0">
        <w:rPr>
          <w:rFonts w:ascii="PT Astra Serif" w:hAnsi="PT Astra Serif" w:cs="Times New Roman"/>
          <w:sz w:val="28"/>
          <w:szCs w:val="28"/>
        </w:rPr>
        <w:t>, или 43,1%</w:t>
      </w:r>
      <w:r w:rsidR="00F75EEB" w:rsidRPr="009E1FF0">
        <w:rPr>
          <w:rFonts w:ascii="PT Astra Serif" w:hAnsi="PT Astra Serif" w:cs="Times New Roman"/>
          <w:sz w:val="28"/>
          <w:szCs w:val="28"/>
        </w:rPr>
        <w:t xml:space="preserve"> – </w:t>
      </w:r>
      <w:r w:rsidRPr="009E1FF0">
        <w:rPr>
          <w:rFonts w:ascii="PT Astra Serif" w:hAnsi="PT Astra Serif" w:cs="Times New Roman"/>
          <w:sz w:val="28"/>
          <w:szCs w:val="28"/>
        </w:rPr>
        <w:t>приходится на программы поддержк</w:t>
      </w:r>
      <w:r w:rsidR="000F686B" w:rsidRPr="009E1FF0">
        <w:rPr>
          <w:rFonts w:ascii="PT Astra Serif" w:hAnsi="PT Astra Serif" w:cs="Times New Roman"/>
          <w:sz w:val="28"/>
          <w:szCs w:val="28"/>
        </w:rPr>
        <w:t>и</w:t>
      </w:r>
      <w:r w:rsidRPr="009E1FF0">
        <w:rPr>
          <w:rFonts w:ascii="PT Astra Serif" w:hAnsi="PT Astra Serif" w:cs="Times New Roman"/>
          <w:sz w:val="28"/>
          <w:szCs w:val="28"/>
        </w:rPr>
        <w:t xml:space="preserve"> семьи, материнства и детства (</w:t>
      </w:r>
      <w:r w:rsidR="00F75EEB" w:rsidRPr="009E1FF0">
        <w:rPr>
          <w:rFonts w:ascii="PT Astra Serif" w:hAnsi="PT Astra Serif" w:cs="Times New Roman"/>
          <w:sz w:val="28"/>
          <w:szCs w:val="28"/>
        </w:rPr>
        <w:t>р</w:t>
      </w:r>
      <w:r w:rsidRPr="009E1FF0">
        <w:rPr>
          <w:rFonts w:ascii="PT Astra Serif" w:hAnsi="PT Astra Serif" w:cs="Times New Roman"/>
          <w:sz w:val="28"/>
          <w:szCs w:val="28"/>
        </w:rPr>
        <w:t>ис</w:t>
      </w:r>
      <w:r w:rsidR="0018790E" w:rsidRPr="009E1FF0">
        <w:rPr>
          <w:rFonts w:ascii="PT Astra Serif" w:hAnsi="PT Astra Serif" w:cs="Times New Roman"/>
          <w:sz w:val="28"/>
          <w:szCs w:val="28"/>
        </w:rPr>
        <w:t>унок</w:t>
      </w:r>
      <w:r w:rsidR="00F75EEB" w:rsidRPr="009E1FF0">
        <w:rPr>
          <w:rFonts w:ascii="PT Astra Serif" w:hAnsi="PT Astra Serif" w:cs="Times New Roman"/>
          <w:sz w:val="28"/>
          <w:szCs w:val="28"/>
        </w:rPr>
        <w:t xml:space="preserve"> 3</w:t>
      </w:r>
      <w:r w:rsidRPr="009E1FF0">
        <w:rPr>
          <w:rFonts w:ascii="PT Astra Serif" w:hAnsi="PT Astra Serif" w:cs="Times New Roman"/>
          <w:sz w:val="28"/>
          <w:szCs w:val="28"/>
        </w:rPr>
        <w:t>).</w:t>
      </w:r>
    </w:p>
    <w:p w:rsidR="000F686B" w:rsidRPr="009E1FF0" w:rsidRDefault="000F686B" w:rsidP="000F6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F75EEB" w:rsidRPr="009E1FF0" w:rsidRDefault="00F75EEB" w:rsidP="00F75EE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Рисунок 3. Структура </w:t>
      </w:r>
      <w:r w:rsidR="007E30E7"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>р</w:t>
      </w:r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>асход</w:t>
      </w:r>
      <w:r w:rsidR="007E30E7"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>ов</w:t>
      </w:r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 на выполнение социальных обязательств в 2023 году, </w:t>
      </w:r>
      <w:proofErr w:type="gramStart"/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>млрд</w:t>
      </w:r>
      <w:proofErr w:type="gramEnd"/>
      <w:r w:rsidRPr="009E1FF0">
        <w:rPr>
          <w:rFonts w:ascii="PT Astra Serif" w:hAnsi="PT Astra Serif" w:cs="Times New Roman"/>
          <w:b/>
          <w:sz w:val="28"/>
          <w:szCs w:val="28"/>
          <w:shd w:val="clear" w:color="auto" w:fill="FFFFFF"/>
        </w:rPr>
        <w:t xml:space="preserve"> рублей</w:t>
      </w:r>
    </w:p>
    <w:p w:rsidR="007E30E7" w:rsidRPr="009E1FF0" w:rsidRDefault="007E30E7" w:rsidP="00F75EE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  <w:shd w:val="clear" w:color="auto" w:fill="FFFFFF"/>
        </w:rPr>
      </w:pPr>
    </w:p>
    <w:p w:rsidR="00005FE0" w:rsidRPr="009E1FF0" w:rsidRDefault="007E30E7" w:rsidP="0018790E">
      <w:pPr>
        <w:autoSpaceDE w:val="0"/>
        <w:autoSpaceDN w:val="0"/>
        <w:adjustRightInd w:val="0"/>
        <w:spacing w:after="0" w:line="360" w:lineRule="auto"/>
        <w:jc w:val="both"/>
        <w:rPr>
          <w:rFonts w:ascii="PT Astra Serif" w:hAnsi="PT Astra Serif" w:cs="Times New Roman"/>
          <w:color w:val="FF0000"/>
          <w:sz w:val="28"/>
          <w:szCs w:val="28"/>
        </w:rPr>
      </w:pPr>
      <w:r w:rsidRPr="009E1FF0">
        <w:rPr>
          <w:rFonts w:ascii="PT Astra Serif" w:hAnsi="PT Astra Serif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57DFD146" wp14:editId="406C4D1C">
            <wp:extent cx="5932170" cy="28549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FE0" w:rsidRPr="009E1FF0" w:rsidRDefault="00005FE0" w:rsidP="00F86F1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PT Astra Serif" w:hAnsi="PT Astra Serif" w:cs="Times New Roman"/>
          <w:color w:val="FF0000"/>
          <w:sz w:val="28"/>
          <w:szCs w:val="28"/>
        </w:rPr>
      </w:pPr>
    </w:p>
    <w:p w:rsidR="0064676A" w:rsidRPr="009E1FF0" w:rsidRDefault="0064676A" w:rsidP="000F6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Социальные выплаты рассчитаны с ежегодной индексацией с 1 октября в 2023-2025 годах на прогнозный уровень инфляции, а также с учетом роста тарифов на оплату жилого помещения и коммунальных услуг.</w:t>
      </w:r>
    </w:p>
    <w:p w:rsidR="000F686B" w:rsidRPr="009E1FF0" w:rsidRDefault="00570BD6" w:rsidP="000F68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В целом расходы сформированы </w:t>
      </w:r>
      <w:r w:rsidR="007E30E7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по программн</w:t>
      </w:r>
      <w:r w:rsidR="000F686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ому </w:t>
      </w:r>
      <w:r w:rsidR="007E30E7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принцип</w:t>
      </w:r>
      <w:r w:rsidR="000F686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у</w:t>
      </w:r>
      <w:r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.</w:t>
      </w:r>
      <w:r w:rsidR="000F686B" w:rsidRPr="009E1FF0">
        <w:rPr>
          <w:rFonts w:ascii="PT Astra Serif" w:hAnsi="PT Astra Serif"/>
        </w:rPr>
        <w:t xml:space="preserve"> </w:t>
      </w:r>
      <w:r w:rsidR="000F686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На финансирование 20 государственных программ Саратовской области </w:t>
      </w:r>
      <w:r w:rsidR="0019764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на 2023 год</w:t>
      </w:r>
      <w:r w:rsidR="0019764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 запланировано</w:t>
      </w:r>
      <w:r w:rsidR="000F686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 123,9 </w:t>
      </w:r>
      <w:proofErr w:type="gramStart"/>
      <w:r w:rsidR="000F686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млрд</w:t>
      </w:r>
      <w:proofErr w:type="gramEnd"/>
      <w:r w:rsidR="000F686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 рублей, или 92,2</w:t>
      </w:r>
      <w:r w:rsidR="0019764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% </w:t>
      </w:r>
      <w:r w:rsidR="000F686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совокупных расходов областного бюджета.</w:t>
      </w:r>
      <w:r w:rsidR="0019764B" w:rsidRPr="009E1FF0">
        <w:rPr>
          <w:rFonts w:ascii="PT Astra Serif" w:hAnsi="PT Astra Serif"/>
        </w:rPr>
        <w:t xml:space="preserve"> </w:t>
      </w:r>
      <w:r w:rsidR="0019764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Расходы на программы социальной направленности превысят 88 </w:t>
      </w:r>
      <w:proofErr w:type="gramStart"/>
      <w:r w:rsidR="0019764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>млрд</w:t>
      </w:r>
      <w:proofErr w:type="gramEnd"/>
      <w:r w:rsidR="0019764B" w:rsidRPr="009E1FF0">
        <w:rPr>
          <w:rFonts w:ascii="PT Astra Serif" w:hAnsi="PT Astra Serif" w:cs="Times New Roman"/>
          <w:color w:val="222222"/>
          <w:sz w:val="28"/>
          <w:szCs w:val="28"/>
          <w:shd w:val="clear" w:color="auto" w:fill="FFFFFF"/>
        </w:rPr>
        <w:t xml:space="preserve"> рублей.</w:t>
      </w:r>
    </w:p>
    <w:p w:rsidR="0064676A" w:rsidRPr="009E1FF0" w:rsidRDefault="0064676A" w:rsidP="000F686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Областной дорожный фонд на 2023 год заложен в размере 15,2 </w:t>
      </w:r>
      <w:proofErr w:type="gramStart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млрд</w:t>
      </w:r>
      <w:proofErr w:type="gramEnd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рублей.</w:t>
      </w:r>
    </w:p>
    <w:p w:rsidR="0064676A" w:rsidRPr="00525F45" w:rsidRDefault="0064676A" w:rsidP="00525F45">
      <w:pPr>
        <w:tabs>
          <w:tab w:val="left" w:pos="80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lastRenderedPageBreak/>
        <w:t xml:space="preserve">Суммарные ассигнования по межбюджетным трансфертам местным бюджетам в следующем году составят 38,3 </w:t>
      </w:r>
      <w:proofErr w:type="gramStart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млрд</w:t>
      </w:r>
      <w:proofErr w:type="gramEnd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рублей, практически т</w:t>
      </w:r>
      <w:r w:rsidR="00595951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реть 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совокупных </w:t>
      </w:r>
      <w:r w:rsidR="00595951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расходов областного бюджета</w:t>
      </w: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. </w:t>
      </w:r>
      <w:r w:rsidR="00525F4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Объем средств, </w:t>
      </w:r>
      <w:r w:rsidR="00591366">
        <w:rPr>
          <w:rFonts w:ascii="PT Astra Serif" w:hAnsi="PT Astra Serif" w:cs="Times New Roman"/>
          <w:sz w:val="28"/>
          <w:szCs w:val="28"/>
          <w:shd w:val="clear" w:color="auto" w:fill="FFFFFF"/>
        </w:rPr>
        <w:t>направляемых в местные бюджеты</w:t>
      </w:r>
      <w:r w:rsidR="00525F4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сопоставим с суммой </w:t>
      </w:r>
      <w:r w:rsidR="00525F45" w:rsidRPr="009E1FF0">
        <w:rPr>
          <w:rFonts w:ascii="PT Astra Serif" w:hAnsi="PT Astra Serif" w:cs="Times New Roman"/>
          <w:color w:val="000000"/>
          <w:sz w:val="28"/>
          <w:szCs w:val="28"/>
        </w:rPr>
        <w:t xml:space="preserve">безвозмездных поступлений (34,8 </w:t>
      </w:r>
      <w:proofErr w:type="gramStart"/>
      <w:r w:rsidR="00525F45" w:rsidRPr="009E1FF0">
        <w:rPr>
          <w:rFonts w:ascii="PT Astra Serif" w:hAnsi="PT Astra Serif" w:cs="Times New Roman"/>
          <w:color w:val="000000"/>
          <w:sz w:val="28"/>
          <w:szCs w:val="28"/>
        </w:rPr>
        <w:t>млрд</w:t>
      </w:r>
      <w:proofErr w:type="gramEnd"/>
      <w:r w:rsidR="00525F45" w:rsidRPr="009E1FF0">
        <w:rPr>
          <w:rFonts w:ascii="PT Astra Serif" w:hAnsi="PT Astra Serif" w:cs="Times New Roman"/>
          <w:color w:val="000000"/>
          <w:sz w:val="28"/>
          <w:szCs w:val="28"/>
        </w:rPr>
        <w:t xml:space="preserve"> рублей)</w:t>
      </w:r>
      <w:r w:rsidR="00FD045C">
        <w:rPr>
          <w:rFonts w:ascii="PT Astra Serif" w:hAnsi="PT Astra Serif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B47FE2">
        <w:rPr>
          <w:rFonts w:ascii="PT Astra Serif" w:hAnsi="PT Astra Serif" w:cs="Times New Roman"/>
          <w:sz w:val="28"/>
          <w:szCs w:val="28"/>
          <w:shd w:val="clear" w:color="auto" w:fill="FFFFFF"/>
        </w:rPr>
        <w:t>в</w:t>
      </w:r>
      <w:r w:rsidRPr="009E1FF0">
        <w:rPr>
          <w:rFonts w:ascii="PT Astra Serif" w:hAnsi="PT Astra Serif" w:cs="Times New Roman"/>
          <w:color w:val="000000"/>
          <w:sz w:val="28"/>
          <w:szCs w:val="28"/>
        </w:rPr>
        <w:t xml:space="preserve"> областной бюджет из федерального.</w:t>
      </w:r>
    </w:p>
    <w:p w:rsidR="0064676A" w:rsidRPr="009E1FF0" w:rsidRDefault="0064676A" w:rsidP="000F686B">
      <w:pPr>
        <w:tabs>
          <w:tab w:val="left" w:pos="80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Планируется возобновить предоставление средств на стимулирование (поощрение) органов местного самоуправления по социально-экономическому развитию муниципалитетов – по 150 </w:t>
      </w:r>
      <w:proofErr w:type="gramStart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млн</w:t>
      </w:r>
      <w:proofErr w:type="gramEnd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рублей ежегодно.</w:t>
      </w:r>
    </w:p>
    <w:p w:rsidR="0064676A" w:rsidRPr="009E1FF0" w:rsidRDefault="0064676A" w:rsidP="000F686B">
      <w:pPr>
        <w:tabs>
          <w:tab w:val="left" w:pos="80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Предусмотрены средства на решение задач по развитию села и социальной сферы – ремонт и содержание сельских дорог, систем водоснабжения, муниципальных учреждений социальной сферы, оснащение и укрепление материально-технической базы образовательных организаций.</w:t>
      </w:r>
    </w:p>
    <w:p w:rsidR="0064676A" w:rsidRPr="009E1FF0" w:rsidRDefault="0064676A" w:rsidP="000F686B">
      <w:pPr>
        <w:tabs>
          <w:tab w:val="left" w:pos="806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На реализацию программы поддержки местных инициатив с предоставлением на конкурсной основе субсидий из областного бюджета предусмотрено ежегодно по 140 </w:t>
      </w:r>
      <w:proofErr w:type="gramStart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млн</w:t>
      </w:r>
      <w:proofErr w:type="gramEnd"/>
      <w:r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рублей.</w:t>
      </w:r>
    </w:p>
    <w:p w:rsidR="00AE0220" w:rsidRPr="009E1FF0" w:rsidRDefault="00520B92" w:rsidP="000F686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E1FF0">
        <w:rPr>
          <w:rFonts w:ascii="PT Astra Serif" w:hAnsi="PT Astra Serif" w:cs="Times New Roman"/>
          <w:sz w:val="28"/>
          <w:szCs w:val="28"/>
        </w:rPr>
        <w:t xml:space="preserve">Уровень долговой нагрузки на областной бюджет находится на экономически безопасном уровне, и соответствуют требованиям бюджетного законодательства. Кардинальных изменений в структуре государственного долга области не ожидается. </w:t>
      </w:r>
      <w:r w:rsidR="00AE0220" w:rsidRPr="009E1FF0">
        <w:rPr>
          <w:rFonts w:ascii="PT Astra Serif" w:hAnsi="PT Astra Serif" w:cs="Times New Roman"/>
          <w:sz w:val="28"/>
          <w:szCs w:val="28"/>
        </w:rPr>
        <w:t>График погашения обязательств оценивается как комфортный.</w:t>
      </w:r>
    </w:p>
    <w:p w:rsidR="004647BA" w:rsidRPr="009E1FF0" w:rsidRDefault="004647BA" w:rsidP="004647B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E1FF0">
        <w:rPr>
          <w:rFonts w:ascii="PT Astra Serif" w:hAnsi="PT Astra Serif" w:cs="Times New Roman"/>
          <w:sz w:val="28"/>
          <w:szCs w:val="28"/>
        </w:rPr>
        <w:t>По информации,</w:t>
      </w:r>
      <w:r w:rsidR="00525F45">
        <w:rPr>
          <w:rFonts w:ascii="PT Astra Serif" w:hAnsi="PT Astra Serif" w:cs="Times New Roman"/>
          <w:sz w:val="28"/>
          <w:szCs w:val="28"/>
        </w:rPr>
        <w:t xml:space="preserve"> опубликованной на официальном сайте </w:t>
      </w:r>
      <w:r w:rsidR="00525F45" w:rsidRPr="009E1FF0">
        <w:rPr>
          <w:rFonts w:ascii="PT Astra Serif" w:hAnsi="PT Astra Serif" w:cs="Times New Roman"/>
          <w:sz w:val="28"/>
          <w:szCs w:val="28"/>
        </w:rPr>
        <w:t>министерства финансов области</w:t>
      </w:r>
      <w:r w:rsidR="00525F45">
        <w:rPr>
          <w:rFonts w:ascii="PT Astra Serif" w:hAnsi="PT Astra Serif" w:cs="Times New Roman"/>
          <w:sz w:val="28"/>
          <w:szCs w:val="28"/>
        </w:rPr>
        <w:t>,</w:t>
      </w:r>
      <w:r w:rsidRPr="009E1FF0">
        <w:rPr>
          <w:rFonts w:ascii="PT Astra Serif" w:hAnsi="PT Astra Serif" w:cs="Times New Roman"/>
          <w:sz w:val="28"/>
          <w:szCs w:val="28"/>
        </w:rPr>
        <w:t xml:space="preserve"> уровень кредитного рейтинга региона в ноябре текущего года подтвержден как умеренно высокий уровень кредитоспособности (</w:t>
      </w:r>
      <w:proofErr w:type="spellStart"/>
      <w:r w:rsidRPr="009E1FF0">
        <w:rPr>
          <w:rFonts w:ascii="PT Astra Serif" w:hAnsi="PT Astra Serif" w:cs="Times New Roman"/>
          <w:sz w:val="28"/>
          <w:szCs w:val="28"/>
        </w:rPr>
        <w:t>ru</w:t>
      </w:r>
      <w:proofErr w:type="gramStart"/>
      <w:r w:rsidRPr="009E1FF0">
        <w:rPr>
          <w:rFonts w:ascii="PT Astra Serif" w:hAnsi="PT Astra Serif" w:cs="Times New Roman"/>
          <w:sz w:val="28"/>
          <w:szCs w:val="28"/>
        </w:rPr>
        <w:t>А</w:t>
      </w:r>
      <w:proofErr w:type="spellEnd"/>
      <w:r w:rsidRPr="009E1FF0">
        <w:rPr>
          <w:rFonts w:ascii="PT Astra Serif" w:hAnsi="PT Astra Serif" w:cs="Times New Roman"/>
          <w:sz w:val="28"/>
          <w:szCs w:val="28"/>
        </w:rPr>
        <w:t>-</w:t>
      </w:r>
      <w:proofErr w:type="gramEnd"/>
      <w:r w:rsidRPr="009E1FF0">
        <w:rPr>
          <w:rFonts w:ascii="PT Astra Serif" w:hAnsi="PT Astra Serif" w:cs="Times New Roman"/>
          <w:sz w:val="28"/>
          <w:szCs w:val="28"/>
        </w:rPr>
        <w:t>) по национальной рейтинговой шкале, со стабильным прогнозом.</w:t>
      </w:r>
    </w:p>
    <w:p w:rsidR="00595951" w:rsidRPr="009E1FF0" w:rsidRDefault="005B32F8" w:rsidP="000F686B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  <w:shd w:val="clear" w:color="auto" w:fill="FFFFFF"/>
        </w:rPr>
        <w:t>Таким образом, в</w:t>
      </w:r>
      <w:r w:rsidR="00520B92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сложившихся очень непростых условиях </w:t>
      </w:r>
      <w:r w:rsidR="00595951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о</w:t>
      </w:r>
      <w:r w:rsidR="00595951" w:rsidRPr="009E1FF0">
        <w:rPr>
          <w:rFonts w:ascii="PT Astra Serif" w:hAnsi="PT Astra Serif" w:cs="Times New Roman"/>
          <w:sz w:val="28"/>
          <w:szCs w:val="28"/>
        </w:rPr>
        <w:t xml:space="preserve">сновная задача заключается в том, чтобы планы, которые заложили в </w:t>
      </w:r>
      <w:r w:rsidR="00595951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бюджет Саратовской области</w:t>
      </w:r>
      <w:r w:rsidR="0019764B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,</w:t>
      </w:r>
      <w:r w:rsidR="00595951" w:rsidRPr="009E1FF0">
        <w:rPr>
          <w:rFonts w:ascii="PT Astra Serif" w:hAnsi="PT Astra Serif" w:cs="Times New Roman"/>
          <w:sz w:val="28"/>
          <w:szCs w:val="28"/>
        </w:rPr>
        <w:t xml:space="preserve"> были реализованы</w:t>
      </w:r>
      <w:r w:rsidR="00937FE6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. Бюджет на 202</w:t>
      </w:r>
      <w:r w:rsidR="00595951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3</w:t>
      </w:r>
      <w:r w:rsidR="00937FE6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-202</w:t>
      </w:r>
      <w:r w:rsidR="00595951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5</w:t>
      </w:r>
      <w:r w:rsidR="00937FE6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г</w:t>
      </w:r>
      <w:r w:rsidR="0019764B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>оды</w:t>
      </w:r>
      <w:r w:rsidR="00937FE6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 позволит </w:t>
      </w:r>
      <w:r w:rsidR="00595951" w:rsidRPr="009E1FF0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обеспечить ресурсами </w:t>
      </w:r>
      <w:r w:rsidR="00595951" w:rsidRPr="009E1FF0">
        <w:rPr>
          <w:rFonts w:ascii="PT Astra Serif" w:hAnsi="PT Astra Serif" w:cs="Times New Roman"/>
          <w:sz w:val="28"/>
          <w:szCs w:val="28"/>
        </w:rPr>
        <w:t>обязательства, в первую очередь</w:t>
      </w:r>
      <w:r w:rsidR="0019764B" w:rsidRPr="009E1FF0">
        <w:rPr>
          <w:rFonts w:ascii="PT Astra Serif" w:hAnsi="PT Astra Serif" w:cs="Times New Roman"/>
          <w:sz w:val="28"/>
          <w:szCs w:val="28"/>
        </w:rPr>
        <w:t>,</w:t>
      </w:r>
      <w:r w:rsidR="00595951" w:rsidRPr="009E1FF0">
        <w:rPr>
          <w:rFonts w:ascii="PT Astra Serif" w:hAnsi="PT Astra Serif" w:cs="Times New Roman"/>
          <w:sz w:val="28"/>
          <w:szCs w:val="28"/>
        </w:rPr>
        <w:t xml:space="preserve"> социального характера.</w:t>
      </w:r>
    </w:p>
    <w:p w:rsidR="009E1FF0" w:rsidRDefault="009E1FF0" w:rsidP="009E1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3"/>
          <w:i/>
          <w:color w:val="auto"/>
          <w:u w:val="none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Подробная информация о бюджете Саратовской области размещена на </w:t>
      </w:r>
      <w:r w:rsidRPr="005B32F8">
        <w:rPr>
          <w:rFonts w:ascii="PT Astra Serif" w:hAnsi="PT Astra Serif" w:cs="Times New Roman"/>
          <w:spacing w:val="-4"/>
          <w:sz w:val="28"/>
          <w:szCs w:val="28"/>
        </w:rPr>
        <w:t xml:space="preserve">портале «Открытый бюджет Саратовской области» по адресу: </w:t>
      </w:r>
      <w:hyperlink r:id="rId12" w:history="1">
        <w:r w:rsidR="005B32F8" w:rsidRPr="005B32F8">
          <w:rPr>
            <w:rStyle w:val="a3"/>
            <w:rFonts w:ascii="PT Astra Serif" w:hAnsi="PT Astra Serif"/>
            <w:color w:val="auto"/>
            <w:sz w:val="28"/>
            <w:szCs w:val="28"/>
          </w:rPr>
          <w:t>https://minfin.saratov.gov.ru/budget/zakon-o-byudzhete/zakon-ob-oblastnom-byudzhete/zakon-ob-oblastnom-byudzhete-2023-2025-g</w:t>
        </w:r>
      </w:hyperlink>
      <w:r w:rsidR="005B32F8">
        <w:t xml:space="preserve"> </w:t>
      </w:r>
    </w:p>
    <w:p w:rsidR="00B9305D" w:rsidRPr="009E1FF0" w:rsidRDefault="00B9305D" w:rsidP="00AE0220">
      <w:pPr>
        <w:shd w:val="clear" w:color="auto" w:fill="FFFFFF"/>
        <w:spacing w:after="0" w:line="240" w:lineRule="atLeast"/>
        <w:ind w:firstLine="708"/>
        <w:rPr>
          <w:rFonts w:ascii="PT Astra Serif" w:hAnsi="PT Astra Serif" w:cs="Times New Roman"/>
          <w:color w:val="000000"/>
          <w:sz w:val="24"/>
          <w:szCs w:val="24"/>
        </w:rPr>
      </w:pPr>
    </w:p>
    <w:p w:rsidR="0019764B" w:rsidRPr="009E1FF0" w:rsidRDefault="0019764B" w:rsidP="0064676A">
      <w:pPr>
        <w:shd w:val="clear" w:color="auto" w:fill="FFFFFF"/>
        <w:spacing w:line="240" w:lineRule="atLeast"/>
        <w:ind w:firstLine="708"/>
        <w:jc w:val="both"/>
        <w:rPr>
          <w:rFonts w:ascii="PT Astra Serif" w:hAnsi="PT Astra Serif"/>
          <w:i/>
          <w:color w:val="000000"/>
          <w:sz w:val="24"/>
        </w:rPr>
      </w:pPr>
    </w:p>
    <w:p w:rsidR="0064676A" w:rsidRPr="009E1FF0" w:rsidRDefault="0064676A" w:rsidP="0064676A">
      <w:pPr>
        <w:shd w:val="clear" w:color="auto" w:fill="FFFFFF"/>
        <w:spacing w:line="240" w:lineRule="atLeast"/>
        <w:ind w:firstLine="708"/>
        <w:jc w:val="both"/>
        <w:rPr>
          <w:rFonts w:ascii="PT Astra Serif" w:hAnsi="PT Astra Serif"/>
          <w:i/>
          <w:color w:val="000000"/>
          <w:sz w:val="24"/>
        </w:rPr>
      </w:pPr>
      <w:r w:rsidRPr="009E1FF0">
        <w:rPr>
          <w:rFonts w:ascii="PT Astra Serif" w:hAnsi="PT Astra Serif"/>
          <w:i/>
          <w:color w:val="000000"/>
          <w:sz w:val="24"/>
        </w:rPr>
        <w:t xml:space="preserve">Материал подготовлен Межрегиональным институтом развития при участии ГАУ </w:t>
      </w:r>
      <w:proofErr w:type="gramStart"/>
      <w:r w:rsidRPr="009E1FF0">
        <w:rPr>
          <w:rFonts w:ascii="PT Astra Serif" w:hAnsi="PT Astra Serif"/>
          <w:i/>
          <w:color w:val="000000"/>
          <w:sz w:val="24"/>
        </w:rPr>
        <w:t>СО</w:t>
      </w:r>
      <w:proofErr w:type="gramEnd"/>
      <w:r w:rsidRPr="009E1FF0">
        <w:rPr>
          <w:rFonts w:ascii="PT Astra Serif" w:hAnsi="PT Astra Serif"/>
          <w:i/>
          <w:color w:val="000000"/>
          <w:sz w:val="24"/>
        </w:rPr>
        <w:t xml:space="preserve"> «Центр бюджетных исследований» в рамках</w:t>
      </w:r>
      <w:r w:rsidRPr="009E1FF0">
        <w:rPr>
          <w:rFonts w:ascii="PT Astra Serif" w:hAnsi="PT Astra Serif"/>
          <w:i/>
          <w:color w:val="FF0000"/>
          <w:sz w:val="24"/>
        </w:rPr>
        <w:t xml:space="preserve"> </w:t>
      </w:r>
      <w:r w:rsidRPr="009E1FF0">
        <w:rPr>
          <w:rFonts w:ascii="PT Astra Serif" w:hAnsi="PT Astra Serif"/>
          <w:i/>
          <w:color w:val="000000"/>
          <w:sz w:val="24"/>
        </w:rPr>
        <w:t>мероприятия «Повышение бюджетной грамотности в Саратовской области» подпрограммы «Управление региональными финансами Саратовской области» государственной программы Саратовской области «Развитие государственного и муниципального управления».</w:t>
      </w:r>
    </w:p>
    <w:p w:rsidR="0064676A" w:rsidRPr="009E1FF0" w:rsidRDefault="0064676A" w:rsidP="0064676A">
      <w:pPr>
        <w:shd w:val="clear" w:color="auto" w:fill="FFFFFF"/>
        <w:spacing w:line="240" w:lineRule="atLeast"/>
        <w:ind w:firstLine="708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9E1FF0">
        <w:rPr>
          <w:rFonts w:ascii="PT Astra Serif" w:hAnsi="PT Astra Serif"/>
          <w:i/>
          <w:color w:val="000000"/>
          <w:sz w:val="24"/>
        </w:rPr>
        <w:t>Ответственный исполнитель подпрограммы: министерство финансов Саратовской области.</w:t>
      </w:r>
    </w:p>
    <w:p w:rsidR="00516022" w:rsidRPr="009E1FF0" w:rsidRDefault="00516022" w:rsidP="0064676A">
      <w:pPr>
        <w:shd w:val="clear" w:color="auto" w:fill="FFFFFF"/>
        <w:spacing w:after="0" w:line="240" w:lineRule="atLeast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sectPr w:rsidR="00516022" w:rsidRPr="009E1FF0" w:rsidSect="005C111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25E" w:rsidRDefault="0040025E" w:rsidP="00ED7B50">
      <w:pPr>
        <w:spacing w:after="0" w:line="240" w:lineRule="auto"/>
      </w:pPr>
      <w:r>
        <w:separator/>
      </w:r>
    </w:p>
  </w:endnote>
  <w:endnote w:type="continuationSeparator" w:id="0">
    <w:p w:rsidR="0040025E" w:rsidRDefault="0040025E" w:rsidP="00ED7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25E" w:rsidRDefault="0040025E" w:rsidP="00ED7B50">
      <w:pPr>
        <w:spacing w:after="0" w:line="240" w:lineRule="auto"/>
      </w:pPr>
      <w:r>
        <w:separator/>
      </w:r>
    </w:p>
  </w:footnote>
  <w:footnote w:type="continuationSeparator" w:id="0">
    <w:p w:rsidR="0040025E" w:rsidRDefault="0040025E" w:rsidP="00ED7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6C96"/>
    <w:multiLevelType w:val="hybridMultilevel"/>
    <w:tmpl w:val="0214F7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7AA3D65"/>
    <w:multiLevelType w:val="hybridMultilevel"/>
    <w:tmpl w:val="048481FC"/>
    <w:lvl w:ilvl="0" w:tplc="35C8BC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F6B"/>
    <w:rsid w:val="0000541D"/>
    <w:rsid w:val="00005FE0"/>
    <w:rsid w:val="00006A3B"/>
    <w:rsid w:val="0002458F"/>
    <w:rsid w:val="00026580"/>
    <w:rsid w:val="0003457A"/>
    <w:rsid w:val="00061C30"/>
    <w:rsid w:val="00087AD8"/>
    <w:rsid w:val="00093765"/>
    <w:rsid w:val="00097FEE"/>
    <w:rsid w:val="000C0A56"/>
    <w:rsid w:val="000E66E9"/>
    <w:rsid w:val="000E79D9"/>
    <w:rsid w:val="000F02A9"/>
    <w:rsid w:val="000F15A4"/>
    <w:rsid w:val="000F686B"/>
    <w:rsid w:val="00125058"/>
    <w:rsid w:val="00125705"/>
    <w:rsid w:val="00154A9B"/>
    <w:rsid w:val="00167685"/>
    <w:rsid w:val="00167B2A"/>
    <w:rsid w:val="0018790E"/>
    <w:rsid w:val="0019764B"/>
    <w:rsid w:val="001A1174"/>
    <w:rsid w:val="001B4669"/>
    <w:rsid w:val="001D45EF"/>
    <w:rsid w:val="00214AB5"/>
    <w:rsid w:val="00221C84"/>
    <w:rsid w:val="002322A8"/>
    <w:rsid w:val="002A16D5"/>
    <w:rsid w:val="002A6669"/>
    <w:rsid w:val="002D52A3"/>
    <w:rsid w:val="002E187B"/>
    <w:rsid w:val="00302B64"/>
    <w:rsid w:val="003042FE"/>
    <w:rsid w:val="003144C2"/>
    <w:rsid w:val="0031458A"/>
    <w:rsid w:val="00335D71"/>
    <w:rsid w:val="0036301C"/>
    <w:rsid w:val="003668B9"/>
    <w:rsid w:val="00386ADA"/>
    <w:rsid w:val="0039345C"/>
    <w:rsid w:val="003A3CF9"/>
    <w:rsid w:val="003A43CD"/>
    <w:rsid w:val="003A7667"/>
    <w:rsid w:val="003B069D"/>
    <w:rsid w:val="003C3F9A"/>
    <w:rsid w:val="003D0E8E"/>
    <w:rsid w:val="003D6310"/>
    <w:rsid w:val="003D70A0"/>
    <w:rsid w:val="003E5966"/>
    <w:rsid w:val="003F0549"/>
    <w:rsid w:val="0040025E"/>
    <w:rsid w:val="0040754A"/>
    <w:rsid w:val="00437568"/>
    <w:rsid w:val="004647BA"/>
    <w:rsid w:val="004A4F6C"/>
    <w:rsid w:val="004B051E"/>
    <w:rsid w:val="004B08F3"/>
    <w:rsid w:val="004C2633"/>
    <w:rsid w:val="004C48AD"/>
    <w:rsid w:val="004D3B90"/>
    <w:rsid w:val="004D515B"/>
    <w:rsid w:val="004E4B6B"/>
    <w:rsid w:val="004F1B0E"/>
    <w:rsid w:val="005121BB"/>
    <w:rsid w:val="00516022"/>
    <w:rsid w:val="00520B92"/>
    <w:rsid w:val="00525F45"/>
    <w:rsid w:val="00570BD6"/>
    <w:rsid w:val="00580DB1"/>
    <w:rsid w:val="005830F7"/>
    <w:rsid w:val="00591366"/>
    <w:rsid w:val="00595951"/>
    <w:rsid w:val="005B32F8"/>
    <w:rsid w:val="005B4E47"/>
    <w:rsid w:val="005C1112"/>
    <w:rsid w:val="005C2316"/>
    <w:rsid w:val="005C76F9"/>
    <w:rsid w:val="005E1486"/>
    <w:rsid w:val="00601F86"/>
    <w:rsid w:val="00612079"/>
    <w:rsid w:val="0062019E"/>
    <w:rsid w:val="00635E1A"/>
    <w:rsid w:val="0064676A"/>
    <w:rsid w:val="00680D68"/>
    <w:rsid w:val="00685602"/>
    <w:rsid w:val="00693DCE"/>
    <w:rsid w:val="006D60D8"/>
    <w:rsid w:val="006F3D55"/>
    <w:rsid w:val="006F7877"/>
    <w:rsid w:val="00700C25"/>
    <w:rsid w:val="00703507"/>
    <w:rsid w:val="007078B7"/>
    <w:rsid w:val="00763CA8"/>
    <w:rsid w:val="00765776"/>
    <w:rsid w:val="007A5F09"/>
    <w:rsid w:val="007B4065"/>
    <w:rsid w:val="007C6AAD"/>
    <w:rsid w:val="007E30E7"/>
    <w:rsid w:val="007F0468"/>
    <w:rsid w:val="0080051D"/>
    <w:rsid w:val="00834E43"/>
    <w:rsid w:val="00851BD4"/>
    <w:rsid w:val="00880C6A"/>
    <w:rsid w:val="008A3A42"/>
    <w:rsid w:val="008A7328"/>
    <w:rsid w:val="008C09C6"/>
    <w:rsid w:val="008D0923"/>
    <w:rsid w:val="008D48D1"/>
    <w:rsid w:val="008E42CD"/>
    <w:rsid w:val="008F65AD"/>
    <w:rsid w:val="008F77D6"/>
    <w:rsid w:val="00902474"/>
    <w:rsid w:val="00902B6A"/>
    <w:rsid w:val="00911A3F"/>
    <w:rsid w:val="00937FE6"/>
    <w:rsid w:val="009524BB"/>
    <w:rsid w:val="00957A53"/>
    <w:rsid w:val="00964FEA"/>
    <w:rsid w:val="009827BA"/>
    <w:rsid w:val="00994D4C"/>
    <w:rsid w:val="009962E9"/>
    <w:rsid w:val="009A1DEA"/>
    <w:rsid w:val="009B430E"/>
    <w:rsid w:val="009C498E"/>
    <w:rsid w:val="009E1FF0"/>
    <w:rsid w:val="009E7880"/>
    <w:rsid w:val="009F7232"/>
    <w:rsid w:val="00A14ECD"/>
    <w:rsid w:val="00A248E6"/>
    <w:rsid w:val="00A4285E"/>
    <w:rsid w:val="00A62633"/>
    <w:rsid w:val="00A672A3"/>
    <w:rsid w:val="00A90495"/>
    <w:rsid w:val="00A92D46"/>
    <w:rsid w:val="00AD462D"/>
    <w:rsid w:val="00AE0188"/>
    <w:rsid w:val="00AE0220"/>
    <w:rsid w:val="00AE4D1E"/>
    <w:rsid w:val="00AF3922"/>
    <w:rsid w:val="00AF6CEE"/>
    <w:rsid w:val="00B06ABA"/>
    <w:rsid w:val="00B11A8E"/>
    <w:rsid w:val="00B375AC"/>
    <w:rsid w:val="00B46A80"/>
    <w:rsid w:val="00B47FE2"/>
    <w:rsid w:val="00B52549"/>
    <w:rsid w:val="00B64D3C"/>
    <w:rsid w:val="00B73E81"/>
    <w:rsid w:val="00B776C7"/>
    <w:rsid w:val="00B9305D"/>
    <w:rsid w:val="00B94825"/>
    <w:rsid w:val="00B95655"/>
    <w:rsid w:val="00BA1881"/>
    <w:rsid w:val="00BA48BB"/>
    <w:rsid w:val="00BA73CC"/>
    <w:rsid w:val="00BC3477"/>
    <w:rsid w:val="00BD5D53"/>
    <w:rsid w:val="00BE4D7B"/>
    <w:rsid w:val="00C0331E"/>
    <w:rsid w:val="00C40148"/>
    <w:rsid w:val="00C433AC"/>
    <w:rsid w:val="00C4585A"/>
    <w:rsid w:val="00C534A0"/>
    <w:rsid w:val="00C90048"/>
    <w:rsid w:val="00C94150"/>
    <w:rsid w:val="00CA153B"/>
    <w:rsid w:val="00CA4AB9"/>
    <w:rsid w:val="00CE206F"/>
    <w:rsid w:val="00CE45E1"/>
    <w:rsid w:val="00CF1F9D"/>
    <w:rsid w:val="00D071E5"/>
    <w:rsid w:val="00D10461"/>
    <w:rsid w:val="00D3221B"/>
    <w:rsid w:val="00D32DF5"/>
    <w:rsid w:val="00D776D8"/>
    <w:rsid w:val="00D82D54"/>
    <w:rsid w:val="00D83257"/>
    <w:rsid w:val="00D95BEE"/>
    <w:rsid w:val="00DD5660"/>
    <w:rsid w:val="00DE7A39"/>
    <w:rsid w:val="00E0102E"/>
    <w:rsid w:val="00E174DB"/>
    <w:rsid w:val="00E37C48"/>
    <w:rsid w:val="00E60214"/>
    <w:rsid w:val="00E65D0C"/>
    <w:rsid w:val="00E76B35"/>
    <w:rsid w:val="00E845F2"/>
    <w:rsid w:val="00E876CC"/>
    <w:rsid w:val="00EB5FBB"/>
    <w:rsid w:val="00EC52FF"/>
    <w:rsid w:val="00ED023C"/>
    <w:rsid w:val="00ED7B50"/>
    <w:rsid w:val="00EE34DF"/>
    <w:rsid w:val="00EE53FE"/>
    <w:rsid w:val="00EE5584"/>
    <w:rsid w:val="00F0159B"/>
    <w:rsid w:val="00F02091"/>
    <w:rsid w:val="00F21BF7"/>
    <w:rsid w:val="00F378B5"/>
    <w:rsid w:val="00F53F6B"/>
    <w:rsid w:val="00F75EEB"/>
    <w:rsid w:val="00F845B9"/>
    <w:rsid w:val="00F86F1E"/>
    <w:rsid w:val="00FB0BB9"/>
    <w:rsid w:val="00FB1EC0"/>
    <w:rsid w:val="00FB3C16"/>
    <w:rsid w:val="00FD045C"/>
    <w:rsid w:val="00FD2469"/>
    <w:rsid w:val="00FE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7B2A"/>
    <w:rPr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167B2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30"/>
      <w:szCs w:val="3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167B2A"/>
    <w:rPr>
      <w:rFonts w:ascii="Times New Roman" w:eastAsia="Times New Roman" w:hAnsi="Times New Roman" w:cs="Times New Roman"/>
      <w:b/>
      <w:bCs/>
      <w:caps/>
      <w:sz w:val="30"/>
      <w:szCs w:val="30"/>
      <w:lang w:eastAsia="ru-RU"/>
    </w:rPr>
  </w:style>
  <w:style w:type="table" w:styleId="a6">
    <w:name w:val="Table Grid"/>
    <w:basedOn w:val="a1"/>
    <w:uiPriority w:val="59"/>
    <w:rsid w:val="00363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00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0C2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32DF5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4B0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4B08F3"/>
    <w:rPr>
      <w:i/>
      <w:iCs/>
    </w:rPr>
  </w:style>
  <w:style w:type="paragraph" w:customStyle="1" w:styleId="Default">
    <w:name w:val="Default"/>
    <w:rsid w:val="00ED7B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footnote text"/>
    <w:basedOn w:val="a"/>
    <w:link w:val="ad"/>
    <w:uiPriority w:val="99"/>
    <w:semiHidden/>
    <w:unhideWhenUsed/>
    <w:rsid w:val="00ED7B5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ED7B50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ED7B50"/>
    <w:rPr>
      <w:vertAlign w:val="superscript"/>
    </w:rPr>
  </w:style>
  <w:style w:type="paragraph" w:customStyle="1" w:styleId="western">
    <w:name w:val="western"/>
    <w:basedOn w:val="a"/>
    <w:rsid w:val="003A4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qFormat/>
    <w:rsid w:val="00CF1F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rsid w:val="00CF1F9D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8242">
          <w:marLeft w:val="0"/>
          <w:marRight w:val="0"/>
          <w:marTop w:val="0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897">
          <w:marLeft w:val="0"/>
          <w:marRight w:val="0"/>
          <w:marTop w:val="0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23">
          <w:marLeft w:val="0"/>
          <w:marRight w:val="0"/>
          <w:marTop w:val="0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infin.saratov.gov.ru/budget/zakon-o-byudzhete/zakon-ob-oblastnom-byudzhete/zakon-ob-oblastnom-byudzhete-2023-2025-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mfhv-fps\AU\AU\&#1055;&#1056;&#1054;&#1043;&#1056;&#1040;&#1052;&#1052;&#1067;\&#1041;&#1070;&#1044;&#1046;&#1045;&#1058;&#1053;&#1040;&#1071;%20&#1043;&#1056;&#1040;&#1052;&#1054;&#1058;&#1053;&#1054;&#1057;&#1058;&#1068;\2022\&#1057;&#1090;&#1072;&#1090;&#1100;&#1080;\8.%20&#1045;&#1088;&#1084;&#1072;&#1082;&#1086;&#1074;&#1072;_&#1047;&#1072;&#1082;&#1086;&#1085;%20&#1086;%20&#1073;&#1102;&#1076;&#1078;&#1077;&#1090;&#1077;\&#1055;&#1088;&#1086;&#1075;&#1085;&#1086;&#1079;%20&#1086;&#1089;&#1085;&#1086;&#1074;&#1085;&#1099;&#1093;%20&#1093;&#1072;&#1088;&#1072;&#1082;&#1090;&#1077;&#1088;&#1080;&#1089;&#1090;&#1080;&#1082;%20&#1050;&#1041;%20&#1054;&#1041;%20&#1080;%20&#1052;&#1041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6190475086718132E-2"/>
          <c:y val="4.3604986887290628E-2"/>
          <c:w val="0.97231341274648364"/>
          <c:h val="0.76858081107873433"/>
        </c:manualLayout>
      </c:layout>
      <c:barChart>
        <c:barDir val="col"/>
        <c:grouping val="clustered"/>
        <c:varyColors val="0"/>
        <c:ser>
          <c:idx val="0"/>
          <c:order val="0"/>
          <c:tx>
            <c:v>доходы</c:v>
          </c:tx>
          <c:invertIfNegative val="0"/>
          <c:dLbls>
            <c:dLbl>
              <c:idx val="0"/>
              <c:layout>
                <c:manualLayout>
                  <c:x val="-1.065830712233680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1378962245103978E-2"/>
                  <c:y val="1.90608980684706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7.105538081557869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670822397200342E-2"/>
                  <c:y val="1.90608980684706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9.2422101083518404E-3"/>
                  <c:y val="1.42956735513529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latin typeface="PT Astra Serif" panose="020A0603040505020204" pitchFamily="18" charset="-52"/>
                    <a:ea typeface="PT Astra Serif" panose="020A0603040505020204" pitchFamily="18" charset="-52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прогноз!$I$21:$M$21</c:f>
              <c:strCache>
                <c:ptCount val="5"/>
                <c:pt idx="0">
                  <c:v>2021                      отчет</c:v>
                </c:pt>
                <c:pt idx="1">
                  <c:v>2022                оценка</c:v>
                </c:pt>
                <c:pt idx="2">
                  <c:v>2023</c:v>
                </c:pt>
                <c:pt idx="3">
                  <c:v>2024               прогноз</c:v>
                </c:pt>
                <c:pt idx="4">
                  <c:v>2025</c:v>
                </c:pt>
              </c:strCache>
            </c:strRef>
          </c:cat>
          <c:val>
            <c:numRef>
              <c:f>прогноз!$I$22:$M$22</c:f>
              <c:numCache>
                <c:formatCode>0.0</c:formatCode>
                <c:ptCount val="5"/>
                <c:pt idx="0">
                  <c:v>145.32755700000001</c:v>
                </c:pt>
                <c:pt idx="1">
                  <c:v>151.95679999999999</c:v>
                </c:pt>
                <c:pt idx="2">
                  <c:v>125.13212919999999</c:v>
                </c:pt>
                <c:pt idx="3">
                  <c:v>127.14464509999999</c:v>
                </c:pt>
                <c:pt idx="4">
                  <c:v>121.28167730000001</c:v>
                </c:pt>
              </c:numCache>
            </c:numRef>
          </c:val>
        </c:ser>
        <c:ser>
          <c:idx val="1"/>
          <c:order val="1"/>
          <c:tx>
            <c:v>расходы</c:v>
          </c:tx>
          <c:invertIfNegative val="0"/>
          <c:dLbls>
            <c:dLbl>
              <c:idx val="0"/>
              <c:layout>
                <c:manualLayout>
                  <c:x val="2.136752136752137E-3"/>
                  <c:y val="1.90608980684706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5527289857998521E-3"/>
                  <c:y val="2.3616002449400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68376068376068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3290934786997778E-3"/>
                  <c:y val="-1.90608980684706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latin typeface="PT Astra Serif" panose="020A0603040505020204" pitchFamily="18" charset="-52"/>
                    <a:ea typeface="PT Astra Serif" panose="020A0603040505020204" pitchFamily="18" charset="-52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прогноз!$I$21:$M$21</c:f>
              <c:strCache>
                <c:ptCount val="5"/>
                <c:pt idx="0">
                  <c:v>2021                      отчет</c:v>
                </c:pt>
                <c:pt idx="1">
                  <c:v>2022                оценка</c:v>
                </c:pt>
                <c:pt idx="2">
                  <c:v>2023</c:v>
                </c:pt>
                <c:pt idx="3">
                  <c:v>2024               прогноз</c:v>
                </c:pt>
                <c:pt idx="4">
                  <c:v>2025</c:v>
                </c:pt>
              </c:strCache>
            </c:strRef>
          </c:cat>
          <c:val>
            <c:numRef>
              <c:f>прогноз!$I$23:$M$23</c:f>
              <c:numCache>
                <c:formatCode>0.0</c:formatCode>
                <c:ptCount val="5"/>
                <c:pt idx="0">
                  <c:v>141.29343900000001</c:v>
                </c:pt>
                <c:pt idx="1">
                  <c:v>165.0316</c:v>
                </c:pt>
                <c:pt idx="2">
                  <c:v>134.31100000000001</c:v>
                </c:pt>
                <c:pt idx="3">
                  <c:v>133.00479999999999</c:v>
                </c:pt>
                <c:pt idx="4">
                  <c:v>123.96539999999999</c:v>
                </c:pt>
              </c:numCache>
            </c:numRef>
          </c:val>
        </c:ser>
        <c:ser>
          <c:idx val="2"/>
          <c:order val="2"/>
          <c:tx>
            <c:v>дефицит(-)/профицит(+)</c:v>
          </c:tx>
          <c:invertIfNegative val="0"/>
          <c:dLbls>
            <c:dLbl>
              <c:idx val="1"/>
              <c:layout>
                <c:manualLayout>
                  <c:x val="1.7017632411333198E-2"/>
                  <c:y val="1.18931749227620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434691642726273E-2"/>
                  <c:y val="7.9281794340528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2.4869383285452545E-2"/>
                  <c:y val="1.5856358868105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0658307122336804E-2"/>
                  <c:y val="7.9281794340528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>
                    <a:latin typeface="PT Astra Serif" panose="020A0603040505020204" pitchFamily="18" charset="-52"/>
                    <a:ea typeface="PT Astra Serif" panose="020A0603040505020204" pitchFamily="18" charset="-52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прогноз!$I$21:$M$21</c:f>
              <c:strCache>
                <c:ptCount val="5"/>
                <c:pt idx="0">
                  <c:v>2021                      отчет</c:v>
                </c:pt>
                <c:pt idx="1">
                  <c:v>2022                оценка</c:v>
                </c:pt>
                <c:pt idx="2">
                  <c:v>2023</c:v>
                </c:pt>
                <c:pt idx="3">
                  <c:v>2024               прогноз</c:v>
                </c:pt>
                <c:pt idx="4">
                  <c:v>2025</c:v>
                </c:pt>
              </c:strCache>
            </c:strRef>
          </c:cat>
          <c:val>
            <c:numRef>
              <c:f>прогноз!$I$24:$M$24</c:f>
              <c:numCache>
                <c:formatCode>0.0</c:formatCode>
                <c:ptCount val="5"/>
                <c:pt idx="0">
                  <c:v>4.0341180000000065</c:v>
                </c:pt>
                <c:pt idx="1">
                  <c:v>-13.07480000000001</c:v>
                </c:pt>
                <c:pt idx="2">
                  <c:v>-9.1788708000000128</c:v>
                </c:pt>
                <c:pt idx="3">
                  <c:v>-5.8601548999999977</c:v>
                </c:pt>
                <c:pt idx="4">
                  <c:v>-2.6837226999999757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4"/>
        <c:axId val="103162240"/>
        <c:axId val="103176064"/>
      </c:barChart>
      <c:catAx>
        <c:axId val="10316224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PT Astra Serif" panose="020A0603040505020204" pitchFamily="18" charset="-52"/>
                <a:ea typeface="PT Astra Serif" panose="020A0603040505020204" pitchFamily="18" charset="-52"/>
              </a:defRPr>
            </a:pPr>
            <a:endParaRPr lang="ru-RU"/>
          </a:p>
        </c:txPr>
        <c:crossAx val="103176064"/>
        <c:crosses val="autoZero"/>
        <c:auto val="1"/>
        <c:lblAlgn val="ctr"/>
        <c:lblOffset val="100"/>
        <c:noMultiLvlLbl val="0"/>
      </c:catAx>
      <c:valAx>
        <c:axId val="103176064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103162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541195685819402"/>
          <c:y val="0.82046856164721349"/>
          <c:w val="0.59928024256180945"/>
          <c:h val="0.15574690005062797"/>
        </c:manualLayout>
      </c:layout>
      <c:overlay val="0"/>
      <c:txPr>
        <a:bodyPr/>
        <a:lstStyle/>
        <a:p>
          <a:pPr>
            <a:defRPr sz="1400">
              <a:latin typeface="PT Astra Serif" panose="020A0603040505020204" pitchFamily="18" charset="-52"/>
              <a:ea typeface="PT Astra Serif" panose="020A0603040505020204" pitchFamily="18" charset="-52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14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6104091094451337E-2"/>
          <c:y val="4.0845629590418854E-2"/>
          <c:w val="0.86766470076313118"/>
          <c:h val="0.8299778704132572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lumMod val="60000"/>
                  <a:lumOff val="40000"/>
                </a:schemeClr>
              </a:solidFill>
            </c:spPr>
          </c:dPt>
          <c:dPt>
            <c:idx val="1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Pt>
            <c:idx val="2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</c:spPr>
          </c:dPt>
          <c:dPt>
            <c:idx val="3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</c:spPr>
          </c:dPt>
          <c:dPt>
            <c:idx val="4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</c:spPr>
          </c:dPt>
          <c:dLbls>
            <c:dLbl>
              <c:idx val="0"/>
              <c:layout>
                <c:manualLayout>
                  <c:x val="0.15355216080813422"/>
                  <c:y val="-0.3500682495264431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 на прибыль организаций
27,8 (30,8%)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1"/>
              <c:layout>
                <c:manualLayout>
                  <c:x val="0.19120735324701862"/>
                  <c:y val="0.1187758600285640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НДФЛ
31,5 (34,9%)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2"/>
              <c:layout>
                <c:manualLayout>
                  <c:x val="-0.15290829550711418"/>
                  <c:y val="8.051569739108191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Акцизы
13,4 (14,9%)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3"/>
              <c:layout>
                <c:manualLayout>
                  <c:x val="-5.5385945384889045E-3"/>
                  <c:y val="-0.1036587920605623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 на имущество организаций
8,3 (9,2%)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4"/>
              <c:layout>
                <c:manualLayout>
                  <c:x val="3.0902152074670335E-2"/>
                  <c:y val="-0.12199469513178926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Налоги на совокупный доход
7,5 (8,3%)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5"/>
              <c:layout>
                <c:manualLayout>
                  <c:x val="8.2792543720656822E-2"/>
                  <c:y val="4.168404757695715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Остальные
1,8 (1,9%)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txPr>
              <a:bodyPr/>
              <a:lstStyle/>
              <a:p>
                <a:pPr>
                  <a:defRPr sz="1400">
                    <a:latin typeface="PT Astra Serif" panose="020A0603040505020204" pitchFamily="18" charset="-52"/>
                    <a:ea typeface="PT Astra Serif" panose="020A0603040505020204" pitchFamily="18" charset="-52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</c:dLbls>
          <c:cat>
            <c:strRef>
              <c:f>Лист1!$A$2:$A$7</c:f>
              <c:strCache>
                <c:ptCount val="6"/>
                <c:pt idx="0">
                  <c:v>Налог на прибыль организаций</c:v>
                </c:pt>
                <c:pt idx="1">
                  <c:v>НДФЛ</c:v>
                </c:pt>
                <c:pt idx="2">
                  <c:v>Акцизы</c:v>
                </c:pt>
                <c:pt idx="3">
                  <c:v>Налог на имущество организаций</c:v>
                </c:pt>
                <c:pt idx="4">
                  <c:v>Налоги на совокупный доход</c:v>
                </c:pt>
                <c:pt idx="5">
                  <c:v>Остальные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27.8</c:v>
                </c:pt>
                <c:pt idx="1">
                  <c:v>31.5</c:v>
                </c:pt>
                <c:pt idx="2">
                  <c:v>13.4</c:v>
                </c:pt>
                <c:pt idx="3">
                  <c:v>8.3000000000000007</c:v>
                </c:pt>
                <c:pt idx="4">
                  <c:v>7.5</c:v>
                </c:pt>
                <c:pt idx="5">
                  <c:v>1.8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9198E-F7C3-407E-B3EE-00E7561BF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4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Хохлова Анна Юрьевна</cp:lastModifiedBy>
  <cp:revision>64</cp:revision>
  <cp:lastPrinted>2022-12-15T14:36:00Z</cp:lastPrinted>
  <dcterms:created xsi:type="dcterms:W3CDTF">2019-12-09T07:36:00Z</dcterms:created>
  <dcterms:modified xsi:type="dcterms:W3CDTF">2022-12-15T14:58:00Z</dcterms:modified>
</cp:coreProperties>
</file>