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jc w:val="center"/>
        <w:rPr>
          <w:rFonts w:ascii="PT Astra Serif" w:hAnsi="PT Astra Serif" w:cs="PT Astra Serif"/>
          <w:b/>
          <w:sz w:val="28"/>
          <w:szCs w:val="28"/>
          <w:u w:val="single"/>
        </w:rPr>
      </w:pPr>
      <w:r>
        <w:rPr>
          <w:rFonts w:ascii="PT Astra Serif" w:hAnsi="PT Astra Serif" w:eastAsia="PT Astra Serif" w:cs="PT Astra Serif"/>
          <w:b/>
          <w:sz w:val="28"/>
          <w:szCs w:val="28"/>
          <w:u w:val="single"/>
        </w:rPr>
        <w:t xml:space="preserve">ОБЩИЕ ПРИНЦИПЫ</w:t>
      </w:r>
      <w:r>
        <w:rPr>
          <w:rFonts w:ascii="PT Astra Serif" w:hAnsi="PT Astra Serif" w:cs="PT Astra Serif"/>
          <w:b/>
          <w:sz w:val="28"/>
          <w:szCs w:val="28"/>
          <w:u w:val="single"/>
        </w:rPr>
      </w:r>
    </w:p>
    <w:p>
      <w:pPr>
        <w:pStyle w:val="616"/>
        <w:jc w:val="center"/>
        <w:rPr>
          <w:rFonts w:ascii="PT Astra Serif" w:hAnsi="PT Astra Serif" w:cs="PT Astra Serif"/>
          <w:b/>
          <w:sz w:val="28"/>
          <w:szCs w:val="28"/>
          <w:u w:val="single"/>
        </w:rPr>
      </w:pPr>
      <w:r>
        <w:rPr>
          <w:rFonts w:ascii="PT Astra Serif" w:hAnsi="PT Astra Serif" w:eastAsia="PT Astra Serif" w:cs="PT Astra Serif"/>
          <w:b/>
          <w:sz w:val="28"/>
          <w:szCs w:val="28"/>
          <w:u w:val="single"/>
        </w:rPr>
        <w:t xml:space="preserve">СЛУЖЕБНОГО ПОВЕДЕНИЯ ГОСУДАРСТВЕННЫХ СЛУЖАЩИХ</w:t>
      </w:r>
      <w:r>
        <w:rPr>
          <w:rFonts w:ascii="PT Astra Serif" w:hAnsi="PT Astra Serif" w:eastAsia="PT Astra Serif" w:cs="PT Astra Serif"/>
          <w:b/>
          <w:sz w:val="28"/>
          <w:szCs w:val="28"/>
          <w:u w:val="single"/>
        </w:rPr>
      </w:r>
      <w:r>
        <w:rPr>
          <w:rFonts w:ascii="PT Astra Serif" w:hAnsi="PT Astra Serif" w:cs="PT Astra Serif"/>
          <w:b/>
          <w:sz w:val="28"/>
          <w:szCs w:val="28"/>
          <w:u w:val="single"/>
        </w:rPr>
      </w:r>
    </w:p>
    <w:p>
      <w:pPr>
        <w:pStyle w:val="616"/>
        <w:jc w:val="center"/>
        <w:rPr>
          <w:rFonts w:ascii="PT Astra Serif" w:hAnsi="PT Astra Serif" w:cs="PT Astra Serif"/>
          <w:b/>
          <w:sz w:val="28"/>
          <w:szCs w:val="28"/>
          <w:u w:val="single"/>
        </w:rPr>
      </w:pPr>
      <w:r>
        <w:rPr>
          <w:rFonts w:ascii="PT Astra Serif" w:hAnsi="PT Astra Serif" w:eastAsia="PT Astra Serif" w:cs="PT Astra Serif"/>
          <w:b/>
          <w:sz w:val="28"/>
          <w:szCs w:val="28"/>
          <w:u w:val="single"/>
        </w:rPr>
      </w:r>
      <w:r>
        <w:rPr>
          <w:rFonts w:ascii="PT Astra Serif" w:hAnsi="PT Astra Serif" w:cs="PT Astra Serif"/>
          <w:b/>
          <w:sz w:val="28"/>
          <w:szCs w:val="28"/>
          <w:u w:val="single"/>
        </w:rPr>
      </w:r>
    </w:p>
    <w:p>
      <w:pPr>
        <w:pStyle w:val="616"/>
        <w:jc w:val="right"/>
        <w:rPr>
          <w:rFonts w:ascii="PT Astra Serif" w:hAnsi="PT Astra Serif" w:cs="PT Astra Serif"/>
          <w:sz w:val="20"/>
          <w:szCs w:val="20"/>
        </w:rPr>
        <w:outlineLvl w:val="0"/>
      </w:pPr>
      <w:r>
        <w:rPr>
          <w:rFonts w:ascii="PT Astra Serif" w:hAnsi="PT Astra Serif" w:eastAsia="PT Astra Serif" w:cs="PT Astra Serif"/>
          <w:sz w:val="20"/>
          <w:szCs w:val="20"/>
        </w:rPr>
        <w:t xml:space="preserve">Утверждены</w:t>
      </w:r>
      <w:r>
        <w:rPr>
          <w:rFonts w:ascii="PT Astra Serif" w:hAnsi="PT Astra Serif" w:cs="PT Astra Serif"/>
          <w:sz w:val="20"/>
          <w:szCs w:val="20"/>
        </w:rPr>
      </w:r>
    </w:p>
    <w:p>
      <w:pPr>
        <w:pStyle w:val="616"/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Указом Президента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Российской Федерации</w:t>
      </w: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eastAsia="PT Astra Serif" w:cs="PT Astra Serif"/>
          <w:sz w:val="20"/>
          <w:szCs w:val="20"/>
        </w:rPr>
      </w:r>
    </w:p>
    <w:p>
      <w:pPr>
        <w:pStyle w:val="616"/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от 12 августа 2002 г. № 885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(в редакции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Указов Президента РФ</w:t>
      </w:r>
      <w:r>
        <w:rPr>
          <w:rFonts w:ascii="PT Astra Serif" w:hAnsi="PT Astra Serif" w:eastAsia="PT Astra Serif" w:cs="PT Astra Serif"/>
          <w:sz w:val="20"/>
          <w:szCs w:val="20"/>
        </w:rPr>
      </w:r>
    </w:p>
    <w:p>
      <w:pPr>
        <w:jc w:val="right"/>
        <w:rPr>
          <w:rFonts w:ascii="PT Astra Serif" w:hAnsi="PT Astra Serif" w:cs="PT Astra Serif"/>
          <w:sz w:val="20"/>
          <w:szCs w:val="20"/>
        </w:rPr>
      </w:pPr>
      <w:r>
        <w:rPr>
          <w:rFonts w:ascii="PT Astra Serif" w:hAnsi="PT Astra Serif" w:eastAsia="PT Astra Serif" w:cs="PT Astra Serif"/>
          <w:sz w:val="20"/>
          <w:szCs w:val="20"/>
        </w:rPr>
        <w:t xml:space="preserve">от 16.07.2009 № 814, 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от 25.08.2021 № 493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)</w:t>
      </w:r>
      <w:r>
        <w:rPr>
          <w:rFonts w:ascii="PT Astra Serif" w:hAnsi="PT Astra Serif" w:eastAsia="PT Astra Serif" w:cs="PT Astra Serif"/>
          <w:sz w:val="20"/>
          <w:szCs w:val="20"/>
        </w:rPr>
        <w:t xml:space="preserve"> </w:t>
      </w:r>
      <w:r>
        <w:rPr>
          <w:rFonts w:ascii="PT Astra Serif" w:hAnsi="PT Astra Serif" w:eastAsia="PT Astra Serif" w:cs="PT Astra Serif"/>
          <w:sz w:val="20"/>
          <w:szCs w:val="20"/>
        </w:rPr>
      </w:r>
      <w:r>
        <w:rPr>
          <w:rFonts w:ascii="PT Astra Serif" w:hAnsi="PT Astra Serif" w:eastAsia="PT Astra Serif" w:cs="PT Astra Serif"/>
        </w:rPr>
      </w:r>
    </w:p>
    <w:p>
      <w:pPr>
        <w:pStyle w:val="616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616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1. Настоящие общие принципы представляют собой основы поведения федеральных государственных служащих и государственных гражданских служащих субъектов Российской Федерации (далее - государственные служащие), которыми им надлежит руководствоваться при исполне</w:t>
      </w:r>
      <w:r>
        <w:rPr>
          <w:rFonts w:ascii="PT Astra Serif" w:hAnsi="PT Astra Serif" w:eastAsia="PT Astra Serif" w:cs="PT Astra Serif"/>
          <w:sz w:val="28"/>
        </w:rPr>
        <w:t xml:space="preserve">нии должностных обязанностей.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2. Государственные служащие, сознавая ответственность перед государством, обществом и гражданами, призваны: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а)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б) исходить из того, что признание, соблюдение и защита прав и свобод человека и гражданина определяют основной смысл и содержание деятельности органов государственной власти и государственных служащих;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в) осуществлять свою деятельность в пределах полномочий соответствующего государственного органа;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г)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д) исключать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е) уведомлять представителя нанимателя (работодателя), органы прокуратуры или другие государственные органы обо всех случаях обращения к государственному служащему каких-либо лиц в целях склонения к совершению коррупционных правонарушений;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ж) соблюдать установленные федеральными законами ограничения и запреты, исполнять обязанности, связанные с прохождением государственной службы;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з) соблюдать нейтральность, исключающую возможность влияния на их служебную деятельность решений политических партий, иных общественных объединений;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и) соблюдать нормы служебной, профессиональной этики и правила делового поведения;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к) проявлять корректность и внимательность в обращении с гражданами и должностными лицами;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л) проявлять терпимость и уважение к обычаям и традициям народов России,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м) воздерживаться от поведения, которое могло бы вызвать сомнение в объективном исполнении государственными служащими должностных обязанностей, а также избегать конфликтных ситуаций, способных нанести ущерб их репутации или авторитету государственного орган</w:t>
      </w:r>
      <w:r>
        <w:rPr>
          <w:rFonts w:ascii="PT Astra Serif" w:hAnsi="PT Astra Serif" w:eastAsia="PT Astra Serif" w:cs="PT Astra Serif"/>
          <w:sz w:val="28"/>
        </w:rPr>
        <w:t xml:space="preserve">а;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н) принимать предусмотренные законодательством Российской Федерации меры по недопущению возникновения конфликтов интересов и урегулированию возникших конфликтов интересов;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о) не использовать служебное положение для оказания влияния на деятельность государственных органов, организаций, должностных лиц, государственных служащих и граждан при решении вопросов личного характера;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п) воздерживаться от публичных высказываний, суждений и оценок в отношении деятельности государственных органов, их руководителей, если это не входит в должностные обязанности государственного служащего;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р) соблюдать установленные в государственном органе правила публичных выступлений и предоставления служебной информации;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с) уважительно относиться к деятельности представителей средств массовой информации по информированию общества о работе государственного органа, а также оказывать содействие в получении достоверной информации;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т) воздерживаться в публичных выступлениях, в том числе в средствах массовой информации, от обозначения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</w:t>
      </w:r>
      <w:r>
        <w:rPr>
          <w:rFonts w:ascii="PT Astra Serif" w:hAnsi="PT Astra Serif" w:eastAsia="PT Astra Serif" w:cs="PT Astra Serif"/>
          <w:sz w:val="28"/>
        </w:rPr>
        <w:t xml:space="preserve">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</w:t>
      </w:r>
      <w:r>
        <w:rPr>
          <w:rFonts w:ascii="PT Astra Serif" w:hAnsi="PT Astra Serif" w:eastAsia="PT Astra Serif" w:cs="PT Astra Serif"/>
          <w:sz w:val="28"/>
        </w:rPr>
        <w:t xml:space="preserve">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оборота.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3. Государственные служащие, наделенные организационно-распорядительными полномочиями по отношению к другим государственным служащим, также призваны: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а) принимать меры по предотвращению и урегулированию конфликтов интересов;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б) принимать меры по предупреждению коррупции;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в) не допускать случаев принуждения государственных служащих к участию в деятельности политических партий, иных общественных объединений.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4. Государственные служащие, имеющие гражданство (подданство) иностранного государства, которое не прекращено по не зависящим от них причинам, замещающие должности в соответствии со статьей 26 Федерального закона от 30 апреля 2021 г. № 116-ФЗ «О внесении из</w:t>
      </w:r>
      <w:r>
        <w:rPr>
          <w:rFonts w:ascii="PT Astra Serif" w:hAnsi="PT Astra Serif" w:eastAsia="PT Astra Serif" w:cs="PT Astra Serif"/>
          <w:sz w:val="28"/>
        </w:rPr>
        <w:t xml:space="preserve">менений в отдельные законодательные акты Российской Федерации», призваны: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8"/>
        </w:rPr>
        <w:t xml:space="preserve">а) принимать все возможные меры, направленные на прекращение гражданства (подданства) иностранного государства;</w:t>
      </w:r>
      <w:r>
        <w:rPr>
          <w:rFonts w:ascii="PT Astra Serif" w:hAnsi="PT Astra Serif" w:eastAsia="PT Astra Serif" w:cs="PT Astra Serif"/>
        </w:rPr>
      </w:r>
    </w:p>
    <w:p>
      <w:pPr>
        <w:pStyle w:val="616"/>
        <w:ind w:left="0" w:right="0" w:firstLine="709"/>
        <w:jc w:val="both"/>
        <w:rPr>
          <w:rFonts w:ascii="PT Astra Serif" w:hAnsi="PT Astra Serif" w:cs="PT Astra Serif"/>
          <w:sz w:val="28"/>
        </w:rPr>
      </w:pPr>
      <w:r>
        <w:rPr>
          <w:rFonts w:ascii="PT Astra Serif" w:hAnsi="PT Astra Serif" w:eastAsia="PT Astra Serif" w:cs="PT Astra Serif"/>
          <w:sz w:val="28"/>
        </w:rPr>
        <w:t xml:space="preserve">б) воздерживаться от получения документов, удостоверяющих личность гражданина (подданного) иностранного государства, и совершения иных действий в качестве гражданина (подданного) иностранного государства, за исключением случаев, когда такие действия необход</w:t>
      </w:r>
      <w:r>
        <w:rPr>
          <w:rFonts w:ascii="PT Astra Serif" w:hAnsi="PT Astra Serif" w:eastAsia="PT Astra Serif" w:cs="PT Astra Serif"/>
          <w:sz w:val="28"/>
        </w:rPr>
        <w:t xml:space="preserve">имы для прекращения гражданства (подданства) иностранного государства.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  <w:sz w:val="28"/>
        </w:rPr>
      </w:r>
    </w:p>
    <w:sectPr>
      <w:footnotePr/>
      <w:endnotePr/>
      <w:type w:val="nextPage"/>
      <w:pgSz w:w="11907" w:h="16840" w:orient="portrait"/>
      <w:pgMar w:top="1134" w:right="567" w:bottom="1134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mbria" w:hAnsi="Cambria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6"/>
    <w:next w:val="616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42">
    <w:name w:val="Header"/>
    <w:basedOn w:val="616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6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6"/>
    <w:next w:val="61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6"/>
    <w:next w:val="616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6"/>
    <w:next w:val="616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6"/>
    <w:next w:val="616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6"/>
    <w:next w:val="616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6"/>
    <w:next w:val="616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6"/>
    <w:next w:val="616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6"/>
    <w:next w:val="616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6"/>
    <w:next w:val="616"/>
    <w:uiPriority w:val="39"/>
    <w:unhideWhenUsed/>
    <w:pPr>
      <w:ind w:left="2268" w:right="0" w:firstLine="0"/>
      <w:spacing w:after="57"/>
    </w:pPr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next w:val="616"/>
    <w:link w:val="616"/>
    <w:qFormat/>
    <w:rPr>
      <w:rFonts w:ascii="Times New Roman" w:hAnsi="Times New Roman"/>
      <w:lang w:val="ru-RU" w:eastAsia="ru-RU" w:bidi="ar-SA"/>
    </w:rPr>
  </w:style>
  <w:style w:type="paragraph" w:styleId="617">
    <w:name w:val="Заголовок 1"/>
    <w:basedOn w:val="616"/>
    <w:next w:val="616"/>
    <w:link w:val="629"/>
    <w:qFormat/>
    <w:pPr>
      <w:contextualSpacing/>
      <w:spacing w:before="480" w:line="276" w:lineRule="auto"/>
      <w:outlineLvl w:val="0"/>
    </w:pPr>
    <w:rPr>
      <w:rFonts w:ascii="Cambria" w:hAnsi="Cambria" w:eastAsia="Times New Roman"/>
      <w:smallCaps/>
      <w:spacing w:val="5"/>
      <w:sz w:val="36"/>
      <w:szCs w:val="36"/>
      <w:lang w:val="en-US" w:eastAsia="en-US"/>
    </w:rPr>
  </w:style>
  <w:style w:type="paragraph" w:styleId="618">
    <w:name w:val="Заголовок 2"/>
    <w:basedOn w:val="616"/>
    <w:next w:val="616"/>
    <w:link w:val="630"/>
    <w:qFormat/>
    <w:pPr>
      <w:spacing w:before="200" w:line="271" w:lineRule="auto"/>
      <w:outlineLvl w:val="1"/>
    </w:pPr>
    <w:rPr>
      <w:rFonts w:ascii="Cambria" w:hAnsi="Cambria" w:eastAsia="Times New Roman"/>
      <w:smallCaps/>
      <w:sz w:val="28"/>
      <w:szCs w:val="28"/>
      <w:lang w:val="en-US" w:eastAsia="en-US"/>
    </w:rPr>
  </w:style>
  <w:style w:type="paragraph" w:styleId="619">
    <w:name w:val="Заголовок 3"/>
    <w:basedOn w:val="616"/>
    <w:next w:val="616"/>
    <w:link w:val="631"/>
    <w:qFormat/>
    <w:pPr>
      <w:spacing w:before="200" w:line="271" w:lineRule="auto"/>
      <w:outlineLvl w:val="2"/>
    </w:pPr>
    <w:rPr>
      <w:rFonts w:ascii="Cambria" w:hAnsi="Cambria" w:eastAsia="Times New Roman"/>
      <w:i/>
      <w:iCs/>
      <w:smallCaps/>
      <w:spacing w:val="5"/>
      <w:sz w:val="26"/>
      <w:szCs w:val="26"/>
      <w:lang w:val="en-US" w:eastAsia="en-US"/>
    </w:rPr>
  </w:style>
  <w:style w:type="paragraph" w:styleId="620">
    <w:name w:val="Заголовок 4"/>
    <w:basedOn w:val="616"/>
    <w:next w:val="616"/>
    <w:link w:val="632"/>
    <w:qFormat/>
    <w:pPr>
      <w:spacing w:line="271" w:lineRule="auto"/>
      <w:outlineLvl w:val="3"/>
    </w:pPr>
    <w:rPr>
      <w:rFonts w:ascii="Cambria" w:hAnsi="Cambria" w:eastAsia="Times New Roman"/>
      <w:b/>
      <w:bCs/>
      <w:spacing w:val="5"/>
      <w:sz w:val="24"/>
      <w:szCs w:val="24"/>
      <w:lang w:val="en-US" w:eastAsia="en-US"/>
    </w:rPr>
  </w:style>
  <w:style w:type="paragraph" w:styleId="621">
    <w:name w:val="Заголовок 5"/>
    <w:basedOn w:val="616"/>
    <w:next w:val="616"/>
    <w:link w:val="633"/>
    <w:qFormat/>
    <w:pPr>
      <w:spacing w:line="271" w:lineRule="auto"/>
      <w:outlineLvl w:val="4"/>
    </w:pPr>
    <w:rPr>
      <w:rFonts w:ascii="Cambria" w:hAnsi="Cambria" w:eastAsia="Times New Roman"/>
      <w:i/>
      <w:iCs/>
      <w:sz w:val="24"/>
      <w:szCs w:val="24"/>
      <w:lang w:val="en-US" w:eastAsia="en-US"/>
    </w:rPr>
  </w:style>
  <w:style w:type="paragraph" w:styleId="622">
    <w:name w:val="Заголовок 6"/>
    <w:basedOn w:val="616"/>
    <w:next w:val="616"/>
    <w:link w:val="634"/>
    <w:qFormat/>
    <w:pPr>
      <w:spacing w:line="271" w:lineRule="auto"/>
      <w:shd w:val="clear" w:color="auto" w:fill="ffffff"/>
      <w:outlineLvl w:val="5"/>
    </w:pPr>
    <w:rPr>
      <w:rFonts w:ascii="Cambria" w:hAnsi="Cambria" w:eastAsia="Times New Roman"/>
      <w:b/>
      <w:bCs/>
      <w:color w:val="595959"/>
      <w:spacing w:val="5"/>
      <w:sz w:val="22"/>
      <w:szCs w:val="22"/>
      <w:lang w:val="en-US" w:eastAsia="en-US"/>
    </w:rPr>
  </w:style>
  <w:style w:type="paragraph" w:styleId="623">
    <w:name w:val="Заголовок 7"/>
    <w:basedOn w:val="616"/>
    <w:next w:val="616"/>
    <w:link w:val="635"/>
    <w:qFormat/>
    <w:pPr>
      <w:spacing w:line="276" w:lineRule="auto"/>
      <w:outlineLvl w:val="6"/>
    </w:pPr>
    <w:rPr>
      <w:rFonts w:ascii="Cambria" w:hAnsi="Cambria" w:eastAsia="Times New Roman"/>
      <w:b/>
      <w:bCs/>
      <w:i/>
      <w:iCs/>
      <w:color w:val="5a5a5a"/>
      <w:lang w:val="en-US" w:eastAsia="en-US"/>
    </w:rPr>
  </w:style>
  <w:style w:type="paragraph" w:styleId="624">
    <w:name w:val="Заголовок 8"/>
    <w:basedOn w:val="616"/>
    <w:next w:val="616"/>
    <w:link w:val="636"/>
    <w:qFormat/>
    <w:pPr>
      <w:spacing w:line="276" w:lineRule="auto"/>
      <w:outlineLvl w:val="7"/>
    </w:pPr>
    <w:rPr>
      <w:rFonts w:ascii="Cambria" w:hAnsi="Cambria" w:eastAsia="Times New Roman"/>
      <w:b/>
      <w:bCs/>
      <w:color w:val="7f7f7f"/>
      <w:lang w:val="en-US" w:eastAsia="en-US"/>
    </w:rPr>
  </w:style>
  <w:style w:type="paragraph" w:styleId="625">
    <w:name w:val="Заголовок 9"/>
    <w:basedOn w:val="616"/>
    <w:next w:val="616"/>
    <w:link w:val="637"/>
    <w:qFormat/>
    <w:pPr>
      <w:spacing w:line="271" w:lineRule="auto"/>
      <w:outlineLvl w:val="8"/>
    </w:pPr>
    <w:rPr>
      <w:rFonts w:ascii="Cambria" w:hAnsi="Cambria" w:eastAsia="Times New Roman"/>
      <w:b/>
      <w:bCs/>
      <w:i/>
      <w:iCs/>
      <w:color w:val="7f7f7f"/>
      <w:sz w:val="18"/>
      <w:szCs w:val="18"/>
      <w:lang w:val="en-US" w:eastAsia="en-US"/>
    </w:rPr>
  </w:style>
  <w:style w:type="character" w:styleId="626">
    <w:name w:val="Основной шрифт абзаца"/>
    <w:next w:val="626"/>
    <w:link w:val="616"/>
    <w:semiHidden/>
  </w:style>
  <w:style w:type="table" w:styleId="627">
    <w:name w:val="Обычная таблица"/>
    <w:next w:val="627"/>
    <w:link w:val="616"/>
    <w:semiHidden/>
    <w:tblPr/>
  </w:style>
  <w:style w:type="numbering" w:styleId="628">
    <w:name w:val="Нет списка"/>
    <w:next w:val="628"/>
    <w:link w:val="616"/>
    <w:semiHidden/>
  </w:style>
  <w:style w:type="character" w:styleId="629">
    <w:name w:val="Заголовок 1 Знак"/>
    <w:next w:val="629"/>
    <w:link w:val="617"/>
    <w:rPr>
      <w:rFonts w:cs="Times New Roman"/>
      <w:smallCaps/>
      <w:spacing w:val="5"/>
      <w:sz w:val="36"/>
      <w:szCs w:val="36"/>
    </w:rPr>
  </w:style>
  <w:style w:type="character" w:styleId="630">
    <w:name w:val="Заголовок 2 Знак"/>
    <w:next w:val="630"/>
    <w:link w:val="618"/>
    <w:rPr>
      <w:rFonts w:cs="Times New Roman"/>
      <w:smallCaps/>
      <w:sz w:val="28"/>
      <w:szCs w:val="28"/>
    </w:rPr>
  </w:style>
  <w:style w:type="character" w:styleId="631">
    <w:name w:val="Заголовок 3 Знак"/>
    <w:next w:val="631"/>
    <w:link w:val="619"/>
    <w:semiHidden/>
    <w:rPr>
      <w:rFonts w:cs="Times New Roman"/>
      <w:i/>
      <w:iCs/>
      <w:smallCaps/>
      <w:spacing w:val="5"/>
      <w:sz w:val="26"/>
      <w:szCs w:val="26"/>
    </w:rPr>
  </w:style>
  <w:style w:type="character" w:styleId="632">
    <w:name w:val="Заголовок 4 Знак"/>
    <w:next w:val="632"/>
    <w:link w:val="620"/>
    <w:semiHidden/>
    <w:rPr>
      <w:rFonts w:cs="Times New Roman"/>
      <w:b/>
      <w:bCs/>
      <w:spacing w:val="5"/>
      <w:sz w:val="24"/>
      <w:szCs w:val="24"/>
    </w:rPr>
  </w:style>
  <w:style w:type="character" w:styleId="633">
    <w:name w:val="Заголовок 5 Знак"/>
    <w:next w:val="633"/>
    <w:link w:val="621"/>
    <w:semiHidden/>
    <w:rPr>
      <w:rFonts w:cs="Times New Roman"/>
      <w:i/>
      <w:iCs/>
      <w:sz w:val="24"/>
      <w:szCs w:val="24"/>
    </w:rPr>
  </w:style>
  <w:style w:type="character" w:styleId="634">
    <w:name w:val="Заголовок 6 Знак"/>
    <w:next w:val="634"/>
    <w:link w:val="622"/>
    <w:semiHidden/>
    <w:rPr>
      <w:rFonts w:cs="Times New Roman"/>
      <w:b/>
      <w:bCs/>
      <w:color w:val="595959"/>
      <w:spacing w:val="5"/>
      <w:shd w:val="clear" w:color="auto" w:fill="ffffff"/>
    </w:rPr>
  </w:style>
  <w:style w:type="character" w:styleId="635">
    <w:name w:val="Заголовок 7 Знак"/>
    <w:next w:val="635"/>
    <w:link w:val="623"/>
    <w:semiHidden/>
    <w:rPr>
      <w:rFonts w:cs="Times New Roman"/>
      <w:b/>
      <w:bCs/>
      <w:i/>
      <w:iCs/>
      <w:color w:val="5a5a5a"/>
      <w:sz w:val="20"/>
      <w:szCs w:val="20"/>
    </w:rPr>
  </w:style>
  <w:style w:type="character" w:styleId="636">
    <w:name w:val="Заголовок 8 Знак"/>
    <w:next w:val="636"/>
    <w:link w:val="624"/>
    <w:semiHidden/>
    <w:rPr>
      <w:rFonts w:cs="Times New Roman"/>
      <w:b/>
      <w:bCs/>
      <w:color w:val="7f7f7f"/>
      <w:sz w:val="20"/>
      <w:szCs w:val="20"/>
    </w:rPr>
  </w:style>
  <w:style w:type="character" w:styleId="637">
    <w:name w:val="Заголовок 9 Знак"/>
    <w:next w:val="637"/>
    <w:link w:val="625"/>
    <w:semiHidden/>
    <w:rPr>
      <w:rFonts w:cs="Times New Roman"/>
      <w:b/>
      <w:bCs/>
      <w:i/>
      <w:iCs/>
      <w:color w:val="7f7f7f"/>
      <w:sz w:val="18"/>
      <w:szCs w:val="18"/>
    </w:rPr>
  </w:style>
  <w:style w:type="paragraph" w:styleId="638">
    <w:name w:val="Название"/>
    <w:basedOn w:val="616"/>
    <w:next w:val="616"/>
    <w:link w:val="639"/>
    <w:qFormat/>
    <w:pPr>
      <w:contextualSpacing/>
      <w:spacing w:after="300"/>
    </w:pPr>
    <w:rPr>
      <w:rFonts w:ascii="Cambria" w:hAnsi="Cambria" w:eastAsia="Times New Roman"/>
      <w:smallCaps/>
      <w:sz w:val="52"/>
      <w:szCs w:val="52"/>
      <w:lang w:val="en-US" w:eastAsia="en-US"/>
    </w:rPr>
  </w:style>
  <w:style w:type="character" w:styleId="639">
    <w:name w:val="Название Знак"/>
    <w:next w:val="639"/>
    <w:link w:val="638"/>
    <w:rPr>
      <w:rFonts w:cs="Times New Roman"/>
      <w:smallCaps/>
      <w:sz w:val="52"/>
      <w:szCs w:val="52"/>
    </w:rPr>
  </w:style>
  <w:style w:type="paragraph" w:styleId="640">
    <w:name w:val="Подзаголовок"/>
    <w:basedOn w:val="616"/>
    <w:next w:val="616"/>
    <w:link w:val="641"/>
    <w:qFormat/>
    <w:pPr>
      <w:spacing w:after="200" w:line="276" w:lineRule="auto"/>
    </w:pPr>
    <w:rPr>
      <w:rFonts w:ascii="Cambria" w:hAnsi="Cambria" w:eastAsia="Times New Roman"/>
      <w:i/>
      <w:iCs/>
      <w:smallCaps/>
      <w:spacing w:val="10"/>
      <w:sz w:val="28"/>
      <w:szCs w:val="28"/>
      <w:lang w:val="en-US" w:eastAsia="en-US"/>
    </w:rPr>
  </w:style>
  <w:style w:type="character" w:styleId="641">
    <w:name w:val="Подзаголовок Знак"/>
    <w:next w:val="641"/>
    <w:link w:val="640"/>
    <w:rPr>
      <w:rFonts w:cs="Times New Roman"/>
      <w:i/>
      <w:iCs/>
      <w:smallCaps/>
      <w:spacing w:val="10"/>
      <w:sz w:val="28"/>
      <w:szCs w:val="28"/>
    </w:rPr>
  </w:style>
  <w:style w:type="character" w:styleId="642">
    <w:name w:val="Строгий"/>
    <w:next w:val="642"/>
    <w:link w:val="616"/>
    <w:qFormat/>
    <w:rPr>
      <w:b/>
    </w:rPr>
  </w:style>
  <w:style w:type="character" w:styleId="643">
    <w:name w:val="Выделение"/>
    <w:next w:val="643"/>
    <w:link w:val="616"/>
    <w:qFormat/>
    <w:rPr>
      <w:b/>
      <w:i/>
      <w:spacing w:val="10"/>
    </w:rPr>
  </w:style>
  <w:style w:type="paragraph" w:styleId="644">
    <w:name w:val="No Spacing"/>
    <w:basedOn w:val="616"/>
    <w:next w:val="644"/>
    <w:link w:val="616"/>
    <w:rPr>
      <w:rFonts w:ascii="Cambria" w:hAnsi="Cambria" w:eastAsia="Times New Roman"/>
      <w:sz w:val="22"/>
      <w:szCs w:val="22"/>
      <w:lang w:val="en-US" w:eastAsia="en-US"/>
    </w:rPr>
  </w:style>
  <w:style w:type="paragraph" w:styleId="645">
    <w:name w:val="List Paragraph"/>
    <w:basedOn w:val="616"/>
    <w:next w:val="645"/>
    <w:link w:val="616"/>
    <w:pPr>
      <w:contextualSpacing/>
      <w:ind w:left="720"/>
      <w:spacing w:after="200" w:line="276" w:lineRule="auto"/>
    </w:pPr>
    <w:rPr>
      <w:rFonts w:ascii="Cambria" w:hAnsi="Cambria" w:eastAsia="Times New Roman"/>
      <w:sz w:val="22"/>
      <w:szCs w:val="22"/>
      <w:lang w:val="en-US" w:eastAsia="en-US"/>
    </w:rPr>
  </w:style>
  <w:style w:type="paragraph" w:styleId="646">
    <w:name w:val="Quote"/>
    <w:basedOn w:val="616"/>
    <w:next w:val="616"/>
    <w:link w:val="647"/>
    <w:pPr>
      <w:spacing w:after="200" w:line="276" w:lineRule="auto"/>
    </w:pPr>
    <w:rPr>
      <w:rFonts w:ascii="Cambria" w:hAnsi="Cambria" w:eastAsia="Times New Roman"/>
      <w:i/>
      <w:iCs/>
      <w:sz w:val="22"/>
      <w:szCs w:val="22"/>
      <w:lang w:val="en-US" w:eastAsia="en-US"/>
    </w:rPr>
  </w:style>
  <w:style w:type="character" w:styleId="647">
    <w:name w:val="Quote Char"/>
    <w:next w:val="647"/>
    <w:link w:val="646"/>
    <w:rPr>
      <w:rFonts w:cs="Times New Roman"/>
      <w:i/>
      <w:iCs/>
    </w:rPr>
  </w:style>
  <w:style w:type="paragraph" w:styleId="648">
    <w:name w:val="Intense Quote"/>
    <w:basedOn w:val="616"/>
    <w:next w:val="616"/>
    <w:link w:val="649"/>
    <w:pPr>
      <w:ind w:left="1152" w:right="1152"/>
      <w:jc w:val="both"/>
      <w:spacing w:before="240" w:after="240" w:line="300" w:lineRule="auto"/>
      <w:pBdr>
        <w:top w:val="single" w:color="000000" w:sz="4" w:space="10"/>
        <w:bottom w:val="single" w:color="000000" w:sz="4" w:space="10"/>
      </w:pBdr>
    </w:pPr>
    <w:rPr>
      <w:rFonts w:ascii="Cambria" w:hAnsi="Cambria" w:eastAsia="Times New Roman"/>
      <w:i/>
      <w:iCs/>
      <w:sz w:val="22"/>
      <w:szCs w:val="22"/>
      <w:lang w:val="en-US" w:eastAsia="en-US"/>
    </w:rPr>
  </w:style>
  <w:style w:type="character" w:styleId="649">
    <w:name w:val="Intense Quote Char"/>
    <w:next w:val="649"/>
    <w:link w:val="648"/>
    <w:rPr>
      <w:rFonts w:cs="Times New Roman"/>
      <w:i/>
      <w:iCs/>
    </w:rPr>
  </w:style>
  <w:style w:type="character" w:styleId="650">
    <w:name w:val="Subtle Emphasis"/>
    <w:next w:val="650"/>
    <w:link w:val="616"/>
    <w:rPr>
      <w:i/>
    </w:rPr>
  </w:style>
  <w:style w:type="character" w:styleId="651">
    <w:name w:val="Intense Emphasis"/>
    <w:next w:val="651"/>
    <w:link w:val="616"/>
    <w:rPr>
      <w:b/>
      <w:i/>
    </w:rPr>
  </w:style>
  <w:style w:type="character" w:styleId="652">
    <w:name w:val="Subtle Reference"/>
    <w:next w:val="652"/>
    <w:link w:val="616"/>
    <w:rPr>
      <w:rFonts w:cs="Times New Roman"/>
      <w:smallCaps/>
    </w:rPr>
  </w:style>
  <w:style w:type="character" w:styleId="653">
    <w:name w:val="Intense Reference"/>
    <w:next w:val="653"/>
    <w:link w:val="616"/>
    <w:rPr>
      <w:b/>
      <w:smallCaps/>
    </w:rPr>
  </w:style>
  <w:style w:type="character" w:styleId="654">
    <w:name w:val="Book Title"/>
    <w:next w:val="654"/>
    <w:link w:val="616"/>
    <w:rPr>
      <w:rFonts w:cs="Times New Roman"/>
      <w:i/>
      <w:iCs/>
      <w:smallCaps/>
      <w:spacing w:val="5"/>
    </w:rPr>
  </w:style>
  <w:style w:type="paragraph" w:styleId="655">
    <w:name w:val="TOC Heading"/>
    <w:basedOn w:val="617"/>
    <w:next w:val="616"/>
    <w:link w:val="616"/>
    <w:semiHidden/>
    <w:pPr>
      <w:outlineLvl w:val="9"/>
    </w:pPr>
  </w:style>
  <w:style w:type="character" w:styleId="799" w:default="1">
    <w:name w:val="Default Paragraph Font"/>
    <w:uiPriority w:val="1"/>
    <w:semiHidden/>
    <w:unhideWhenUsed/>
  </w:style>
  <w:style w:type="numbering" w:styleId="800" w:default="1">
    <w:name w:val="No List"/>
    <w:uiPriority w:val="99"/>
    <w:semiHidden/>
    <w:unhideWhenUsed/>
  </w:style>
  <w:style w:type="table" w:styleId="80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принципы служебного поведения</dc:title>
  <dc:creator>МФ</dc:creator>
  <cp:revision>3</cp:revision>
  <dcterms:created xsi:type="dcterms:W3CDTF">2019-01-30T11:53:00Z</dcterms:created>
  <dcterms:modified xsi:type="dcterms:W3CDTF">2024-10-23T06:07:26Z</dcterms:modified>
  <cp:version>917504</cp:version>
</cp:coreProperties>
</file>