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A0B" w:rsidRPr="00013A0B" w:rsidRDefault="00013A0B" w:rsidP="00013A0B">
      <w:pPr>
        <w:overflowPunct/>
        <w:jc w:val="right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  <w:r w:rsidRPr="00013A0B">
        <w:rPr>
          <w:rFonts w:ascii="PT Astra Serif" w:hAnsi="PT Astra Serif" w:cs="Times New Roman CYR"/>
          <w:b/>
          <w:bCs/>
          <w:sz w:val="28"/>
          <w:szCs w:val="28"/>
        </w:rPr>
        <w:tab/>
      </w:r>
    </w:p>
    <w:p w:rsidR="00013A0B" w:rsidRPr="00013A0B" w:rsidRDefault="00013A0B" w:rsidP="00013A0B">
      <w:pPr>
        <w:overflowPunct/>
        <w:jc w:val="right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013A0B" w:rsidRPr="00013A0B" w:rsidRDefault="00013A0B" w:rsidP="00013A0B">
      <w:pPr>
        <w:overflowPunct/>
        <w:jc w:val="right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013A0B" w:rsidRPr="00013A0B" w:rsidRDefault="00013A0B" w:rsidP="00013A0B">
      <w:pPr>
        <w:framePr w:hSpace="142" w:wrap="notBeside" w:vAnchor="page" w:hAnchor="margin" w:xAlign="center" w:y="1645"/>
        <w:spacing w:before="200"/>
        <w:jc w:val="center"/>
        <w:rPr>
          <w:rFonts w:ascii="PT Astra Serif" w:hAnsi="PT Astra Serif"/>
          <w:b/>
          <w:spacing w:val="30"/>
          <w:sz w:val="48"/>
        </w:rPr>
      </w:pPr>
      <w:r w:rsidRPr="00013A0B">
        <w:rPr>
          <w:rFonts w:ascii="PT Astra Serif" w:hAnsi="PT Astra Serif"/>
          <w:b/>
          <w:spacing w:val="30"/>
          <w:sz w:val="48"/>
        </w:rPr>
        <w:t>ЗАКОН</w:t>
      </w:r>
    </w:p>
    <w:p w:rsidR="00013A0B" w:rsidRPr="00013A0B" w:rsidRDefault="00013A0B" w:rsidP="00013A0B">
      <w:pPr>
        <w:pStyle w:val="a8"/>
        <w:framePr w:wrap="notBeside"/>
        <w:rPr>
          <w:rFonts w:ascii="PT Astra Serif" w:hAnsi="PT Astra Serif"/>
        </w:rPr>
      </w:pPr>
      <w:r w:rsidRPr="00013A0B">
        <w:rPr>
          <w:rFonts w:ascii="PT Astra Serif" w:hAnsi="PT Astra Serif"/>
        </w:rPr>
        <w:t>САРАТОВСКОЙ ОБЛАСТИ</w:t>
      </w:r>
    </w:p>
    <w:p w:rsidR="00013A0B" w:rsidRPr="00013A0B" w:rsidRDefault="00013A0B" w:rsidP="00013A0B">
      <w:pPr>
        <w:pStyle w:val="a3"/>
      </w:pPr>
    </w:p>
    <w:p w:rsidR="00013A0B" w:rsidRPr="00013A0B" w:rsidRDefault="00013A0B" w:rsidP="00013A0B">
      <w:pPr>
        <w:pStyle w:val="a3"/>
        <w:rPr>
          <w:rFonts w:ascii="PT Astra Serif" w:hAnsi="PT Astra Serif"/>
        </w:rPr>
      </w:pPr>
    </w:p>
    <w:p w:rsidR="00013A0B" w:rsidRPr="004F75F0" w:rsidRDefault="00013A0B" w:rsidP="00013A0B">
      <w:pPr>
        <w:pStyle w:val="a5"/>
        <w:spacing w:after="360"/>
        <w:rPr>
          <w:rFonts w:ascii="PT Astra Serif" w:hAnsi="PT Astra Serif"/>
          <w:b w:val="0"/>
          <w:sz w:val="32"/>
          <w:szCs w:val="36"/>
        </w:rPr>
      </w:pPr>
      <w:r w:rsidRPr="004F75F0">
        <w:rPr>
          <w:rFonts w:ascii="PT Astra Serif" w:hAnsi="PT Astra Serif"/>
          <w:noProof/>
          <w:sz w:val="32"/>
        </w:rPr>
        <w:drawing>
          <wp:anchor distT="0" distB="0" distL="114300" distR="114300" simplePos="0" relativeHeight="251659264" behindDoc="0" locked="1" layoutInCell="0" allowOverlap="1" wp14:anchorId="64338F99" wp14:editId="2918D21A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75F0">
        <w:rPr>
          <w:rFonts w:ascii="PT Astra Serif" w:hAnsi="PT Astra Serif" w:cs="Times New Roman CYR"/>
          <w:b w:val="0"/>
          <w:bCs/>
          <w:sz w:val="32"/>
          <w:szCs w:val="36"/>
        </w:rPr>
        <w:t xml:space="preserve">О  </w:t>
      </w:r>
      <w:proofErr w:type="gramStart"/>
      <w:r w:rsidRPr="004F75F0">
        <w:rPr>
          <w:rFonts w:ascii="PT Astra Serif" w:hAnsi="PT Astra Serif" w:cs="Times New Roman CYR"/>
          <w:b w:val="0"/>
          <w:bCs/>
          <w:sz w:val="32"/>
          <w:szCs w:val="36"/>
        </w:rPr>
        <w:t>бюджете</w:t>
      </w:r>
      <w:proofErr w:type="gramEnd"/>
      <w:r w:rsidRPr="004F75F0">
        <w:rPr>
          <w:rFonts w:ascii="PT Astra Serif" w:hAnsi="PT Astra Serif" w:cs="Times New Roman CYR"/>
          <w:b w:val="0"/>
          <w:bCs/>
          <w:sz w:val="32"/>
          <w:szCs w:val="36"/>
        </w:rPr>
        <w:t xml:space="preserve">  Территориального  фонда  обязательного      медицинского страхования  Саратовской  области  на 2023 год </w:t>
      </w:r>
      <w:r w:rsidRPr="004F75F0">
        <w:rPr>
          <w:rFonts w:ascii="PT Astra Serif" w:hAnsi="PT Astra Serif"/>
          <w:b w:val="0"/>
          <w:sz w:val="32"/>
          <w:szCs w:val="36"/>
        </w:rPr>
        <w:t>и на плановый период 2024 и 2025 годов</w:t>
      </w:r>
    </w:p>
    <w:p w:rsidR="00013A0B" w:rsidRPr="00013A0B" w:rsidRDefault="00013A0B" w:rsidP="00013A0B">
      <w:pPr>
        <w:overflowPunct/>
        <w:jc w:val="center"/>
        <w:textAlignment w:val="auto"/>
        <w:rPr>
          <w:rFonts w:ascii="PT Astra Serif" w:hAnsi="PT Astra Serif" w:cs="Times New Roman CYR"/>
          <w:b/>
          <w:bCs/>
          <w:sz w:val="28"/>
          <w:szCs w:val="28"/>
        </w:rPr>
      </w:pPr>
    </w:p>
    <w:p w:rsidR="004F75F0" w:rsidRPr="004F75F0" w:rsidRDefault="004F75F0" w:rsidP="004F75F0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proofErr w:type="gramStart"/>
      <w:r w:rsidRPr="004F75F0">
        <w:rPr>
          <w:rFonts w:ascii="PT Astra Serif" w:hAnsi="PT Astra Serif"/>
          <w:sz w:val="28"/>
          <w:szCs w:val="28"/>
        </w:rPr>
        <w:t>Принят</w:t>
      </w:r>
      <w:proofErr w:type="gramEnd"/>
    </w:p>
    <w:p w:rsidR="004F75F0" w:rsidRPr="004F75F0" w:rsidRDefault="004F75F0" w:rsidP="004F75F0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Саратовской областной Думой</w:t>
      </w:r>
    </w:p>
    <w:p w:rsidR="004F75F0" w:rsidRPr="004F75F0" w:rsidRDefault="004F75F0" w:rsidP="004F75F0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23 ноября 2022 года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1. Основные характеристики бюджета Территориального фонда обязательного медицинского страхования Саратовской области на 2023 год и на плановый период 2024 и 2025 годов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1. Утвердить основные характеристики бюджета Территориального фонда обязательного медицинского страхования Саратовской области (далее - Фонд) на 2023 год: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4F75F0">
        <w:rPr>
          <w:rFonts w:ascii="PT Astra Serif" w:hAnsi="PT Astra Serif"/>
          <w:sz w:val="28"/>
          <w:szCs w:val="28"/>
        </w:rPr>
        <w:t>общий объем доходов бюджета Фонда в сумме 373</w:t>
      </w:r>
      <w:bookmarkStart w:id="0" w:name="_GoBack"/>
      <w:bookmarkEnd w:id="0"/>
      <w:r w:rsidRPr="004F75F0">
        <w:rPr>
          <w:rFonts w:ascii="PT Astra Serif" w:hAnsi="PT Astra Serif"/>
          <w:sz w:val="28"/>
          <w:szCs w:val="28"/>
        </w:rPr>
        <w:t>21154,9 тыс. рублей, в том числе за счет безвозмездных поступлений от других бюджетов бюджетной системы Российской Федерации в сумме 37168936,8 тыс. рублей, в том числе за счет межбюджетных трансфертов, получаемых из бюджета Федерального фонда обязательного медицинского страхования в сумме 36822066,4 тыс. рублей и из других бюджетов бюджетной системы Российской Федерации в сумме 346870,4</w:t>
      </w:r>
      <w:proofErr w:type="gramEnd"/>
      <w:r w:rsidRPr="004F75F0">
        <w:rPr>
          <w:rFonts w:ascii="PT Astra Serif" w:hAnsi="PT Astra Serif"/>
          <w:sz w:val="28"/>
          <w:szCs w:val="28"/>
        </w:rPr>
        <w:t xml:space="preserve"> тыс. рублей;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общий объем расходов бюджета Фонда в сумме 37321154,9 тыс. рублей.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2. Утвердить основные характеристики бюджета Фонда на плановый период 2024 и 2025 годов: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4F75F0">
        <w:rPr>
          <w:rFonts w:ascii="PT Astra Serif" w:hAnsi="PT Astra Serif"/>
          <w:sz w:val="28"/>
          <w:szCs w:val="28"/>
        </w:rPr>
        <w:t>на 2024 год общий объем доходов бюджета Фонда в сумме 40007743,0 тыс. рублей, в том числе за счет безвозмездных поступлений от других бюджетов бюджетной системы Российской Федерации в сумме 39853781,5 тыс. рублей, в том числе за счет межбюджетных трансфертов, получаемых из бюджета Федерального фонда обязательного медицинского страхования в сумме 39481867,1 тыс. рублей и из других бюджетов бюджетной системы Российской Федерации</w:t>
      </w:r>
      <w:proofErr w:type="gramEnd"/>
      <w:r w:rsidRPr="004F75F0">
        <w:rPr>
          <w:rFonts w:ascii="PT Astra Serif" w:hAnsi="PT Astra Serif"/>
          <w:sz w:val="28"/>
          <w:szCs w:val="28"/>
        </w:rPr>
        <w:t xml:space="preserve"> в сумме 371914,4 тыс. рублей;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4F75F0">
        <w:rPr>
          <w:rFonts w:ascii="PT Astra Serif" w:hAnsi="PT Astra Serif"/>
          <w:sz w:val="28"/>
          <w:szCs w:val="28"/>
        </w:rPr>
        <w:t xml:space="preserve">на 2025 год общий объем доходов бюджета Фонда в сумме 42196781,7 тыс. рублей, в том числе за счет безвозмездных поступлений от других </w:t>
      </w:r>
      <w:r w:rsidRPr="004F75F0">
        <w:rPr>
          <w:rFonts w:ascii="PT Astra Serif" w:hAnsi="PT Astra Serif"/>
          <w:sz w:val="28"/>
          <w:szCs w:val="28"/>
        </w:rPr>
        <w:lastRenderedPageBreak/>
        <w:t>бюджетов бюджетной системы Российской Федерации в сумме 42045592,9 тыс. рублей, в том числе за счет межбюджетных трансфертов, получаемых из бюджета Федерального фонда обязательного медицинского страхования в сумме 41653223,2 тыс. рублей и из других бюджетов бюджетной системы Российской Федерации</w:t>
      </w:r>
      <w:proofErr w:type="gramEnd"/>
      <w:r w:rsidRPr="004F75F0">
        <w:rPr>
          <w:rFonts w:ascii="PT Astra Serif" w:hAnsi="PT Astra Serif"/>
          <w:sz w:val="28"/>
          <w:szCs w:val="28"/>
        </w:rPr>
        <w:t xml:space="preserve"> в сумме 392369,7 тыс. рублей;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общий объем расходов бюджета Фонда: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на 2024 год - 40007743,0 тыс. рублей;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на 2025 год - 42196781,7 тыс. рублей.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2. Доходы бюджета Фонда на 2023 год и на плановый период 2024 и 2025 годов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1. Установить, что </w:t>
      </w:r>
      <w:hyperlink w:anchor="P86">
        <w:r w:rsidRPr="004F75F0">
          <w:rPr>
            <w:rFonts w:ascii="PT Astra Serif" w:hAnsi="PT Astra Serif"/>
            <w:sz w:val="28"/>
            <w:szCs w:val="28"/>
          </w:rPr>
          <w:t>доходы</w:t>
        </w:r>
      </w:hyperlink>
      <w:r w:rsidRPr="004F75F0">
        <w:rPr>
          <w:rFonts w:ascii="PT Astra Serif" w:hAnsi="PT Astra Serif"/>
          <w:sz w:val="28"/>
          <w:szCs w:val="28"/>
        </w:rPr>
        <w:t xml:space="preserve"> бюджета Фонда на 2023 год формируются в объемах согласно приложению 1 к настоящему Закону.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2. Установить, что </w:t>
      </w:r>
      <w:hyperlink w:anchor="P266">
        <w:r w:rsidRPr="004F75F0">
          <w:rPr>
            <w:rFonts w:ascii="PT Astra Serif" w:hAnsi="PT Astra Serif"/>
            <w:sz w:val="28"/>
            <w:szCs w:val="28"/>
          </w:rPr>
          <w:t>доходы</w:t>
        </w:r>
      </w:hyperlink>
      <w:r w:rsidRPr="004F75F0">
        <w:rPr>
          <w:rFonts w:ascii="PT Astra Serif" w:hAnsi="PT Astra Serif"/>
          <w:sz w:val="28"/>
          <w:szCs w:val="28"/>
        </w:rPr>
        <w:t xml:space="preserve"> бюджета Фонда на плановый период 2024 и 2025 годов формируются в объемах согласно приложению 2 к настоящему Закону.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3. Бюджетные ассигнования бюджета Фонда на 2023 год и на плановый период 2024 и 2025 годов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1. Утвердить </w:t>
      </w:r>
      <w:hyperlink w:anchor="P460">
        <w:r w:rsidRPr="004F75F0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4F75F0">
        <w:rPr>
          <w:rFonts w:ascii="PT Astra Serif" w:hAnsi="PT Astra Serif"/>
          <w:sz w:val="28"/>
          <w:szCs w:val="28"/>
        </w:rPr>
        <w:t xml:space="preserve"> бюджетных ассигнований бюджета Фонда по разделам, подразделам, целевым статьям, группам и подгруппам видов расходов на 2023 год согласно приложению 3 к настоящему Закону.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2. Утвердить </w:t>
      </w:r>
      <w:hyperlink w:anchor="P739">
        <w:r w:rsidRPr="004F75F0">
          <w:rPr>
            <w:rFonts w:ascii="PT Astra Serif" w:hAnsi="PT Astra Serif"/>
            <w:sz w:val="28"/>
            <w:szCs w:val="28"/>
          </w:rPr>
          <w:t>распределение</w:t>
        </w:r>
      </w:hyperlink>
      <w:r w:rsidRPr="004F75F0">
        <w:rPr>
          <w:rFonts w:ascii="PT Astra Serif" w:hAnsi="PT Astra Serif"/>
          <w:sz w:val="28"/>
          <w:szCs w:val="28"/>
        </w:rPr>
        <w:t xml:space="preserve"> бюджетных ассигнований бюджета Фонда по разделам, подразделам, целевым статьям, группам и подгруппам видов расходов на плановый период 2024 и 2025 годов согласно приложению 4 к настоящему Закону.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4. Межбюджетные трансферты на 2023 год и на плановый период 2024 и 2025 годов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1. Утвердить межбюджетные </w:t>
      </w:r>
      <w:hyperlink w:anchor="P1055">
        <w:r w:rsidRPr="004F75F0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4F75F0">
        <w:rPr>
          <w:rFonts w:ascii="PT Astra Serif" w:hAnsi="PT Astra Serif"/>
          <w:sz w:val="28"/>
          <w:szCs w:val="28"/>
        </w:rPr>
        <w:t xml:space="preserve"> в бюджет Фонда, получаемые из других бюджетов бюджетной системы Российской Федерации, в 2023 году согласно приложению 5 к настоящему Закону.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2. Утвердить межбюджетные </w:t>
      </w:r>
      <w:hyperlink w:anchor="P1088">
        <w:r w:rsidRPr="004F75F0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4F75F0">
        <w:rPr>
          <w:rFonts w:ascii="PT Astra Serif" w:hAnsi="PT Astra Serif"/>
          <w:sz w:val="28"/>
          <w:szCs w:val="28"/>
        </w:rPr>
        <w:t xml:space="preserve"> в бюджет Фонда, получаемые из других бюджетов бюджетной системы Российской Федерации, на плановый период 2024 и 2025 годов согласно приложению 6 к настоящему Закону.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3. Утвердить межбюджетные </w:t>
      </w:r>
      <w:hyperlink w:anchor="P1128">
        <w:r w:rsidRPr="004F75F0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4F75F0">
        <w:rPr>
          <w:rFonts w:ascii="PT Astra Serif" w:hAnsi="PT Astra Serif"/>
          <w:sz w:val="28"/>
          <w:szCs w:val="28"/>
        </w:rPr>
        <w:t xml:space="preserve"> из бюджета Фонда, передаваемые другим бюджетам бюджетной системы Российской Федерации, в 2023 году согласно приложению 7 к настоящему Закону.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lastRenderedPageBreak/>
        <w:t xml:space="preserve">4. Утвердить межбюджетные </w:t>
      </w:r>
      <w:hyperlink w:anchor="P1156">
        <w:r w:rsidRPr="004F75F0">
          <w:rPr>
            <w:rFonts w:ascii="PT Astra Serif" w:hAnsi="PT Astra Serif"/>
            <w:sz w:val="28"/>
            <w:szCs w:val="28"/>
          </w:rPr>
          <w:t>трансферты</w:t>
        </w:r>
      </w:hyperlink>
      <w:r w:rsidRPr="004F75F0">
        <w:rPr>
          <w:rFonts w:ascii="PT Astra Serif" w:hAnsi="PT Astra Serif"/>
          <w:sz w:val="28"/>
          <w:szCs w:val="28"/>
        </w:rPr>
        <w:t xml:space="preserve"> из бюджета Фонда, передаваемые другим бюджетам бюджетной системы Российской Федерации, на плановый период 2024 и 2025 годов согласно приложению 8 к настоящему Закону.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5. Особенности исполнения бюджета Фонда на 2023 год и на плановый период 2024 и 2025 годов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Установить, что средства, за исключением безвозмездных поступлений, поступившие в доходы бюджета Фонда сверх объема, утвержденного настоящим Законом, направляются на финансовое обеспечение организации обязательного медицинского страхования с соответствующим внесением изменений в сводную бюджетную роспись бюджета Фонда.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6. Нормированный страховой запас Фонда на 2023 год и на плановый период 2024 и 2025 годов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1. Установить нормированный страховой запас Фонда на 2023 год в размере 5182982,9 тыс. рублей и на плановый период 2024 года в размере 5548942,6 тыс. рублей и 2025 года в размере 5843614,5 тыс. рублей.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2. Средства нормированного страхового запаса Фонда формируются и используются в соответствии с </w:t>
      </w:r>
      <w:hyperlink r:id="rId10">
        <w:r w:rsidRPr="004F75F0">
          <w:rPr>
            <w:rFonts w:ascii="PT Astra Serif" w:hAnsi="PT Astra Serif"/>
            <w:sz w:val="28"/>
            <w:szCs w:val="28"/>
          </w:rPr>
          <w:t>частью 6 статьи 26</w:t>
        </w:r>
      </w:hyperlink>
      <w:r w:rsidRPr="004F75F0">
        <w:rPr>
          <w:rFonts w:ascii="PT Astra Serif" w:hAnsi="PT Astra Serif"/>
          <w:sz w:val="28"/>
          <w:szCs w:val="28"/>
        </w:rPr>
        <w:t xml:space="preserve"> Федерального закона от 29 ноября 2010 года N 326-ФЗ "Об обязательном медицинском страховании в Российской Федерации" </w:t>
      </w:r>
      <w:proofErr w:type="gramStart"/>
      <w:r w:rsidRPr="004F75F0">
        <w:rPr>
          <w:rFonts w:ascii="PT Astra Serif" w:hAnsi="PT Astra Serif"/>
          <w:sz w:val="28"/>
          <w:szCs w:val="28"/>
        </w:rPr>
        <w:t>на</w:t>
      </w:r>
      <w:proofErr w:type="gramEnd"/>
      <w:r w:rsidRPr="004F75F0">
        <w:rPr>
          <w:rFonts w:ascii="PT Astra Serif" w:hAnsi="PT Astra Serif"/>
          <w:sz w:val="28"/>
          <w:szCs w:val="28"/>
        </w:rPr>
        <w:t>: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дополнительное финансовое обеспечение реализации территориальных программ обязательного медицинского страхования;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расчеты за медицинскую помощь, оказанную застрахованным лицам за пределами территории субъекта Российской Федерации, в котором выдан полис обязательного медицинского страхования;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proofErr w:type="spellStart"/>
      <w:r w:rsidRPr="004F75F0">
        <w:rPr>
          <w:rFonts w:ascii="PT Astra Serif" w:hAnsi="PT Astra Serif"/>
          <w:sz w:val="28"/>
          <w:szCs w:val="28"/>
        </w:rPr>
        <w:t>софинансирование</w:t>
      </w:r>
      <w:proofErr w:type="spellEnd"/>
      <w:r w:rsidRPr="004F75F0">
        <w:rPr>
          <w:rFonts w:ascii="PT Astra Serif" w:hAnsi="PT Astra Serif"/>
          <w:sz w:val="28"/>
          <w:szCs w:val="28"/>
        </w:rPr>
        <w:t xml:space="preserve"> расходов медицинских организаций на оплату труда врачей и среднего медицинского персонала;</w:t>
      </w:r>
    </w:p>
    <w:p w:rsidR="004F75F0" w:rsidRPr="004F75F0" w:rsidRDefault="004F75F0" w:rsidP="004F75F0">
      <w:pPr>
        <w:pStyle w:val="ConsPlusNormal0"/>
        <w:spacing w:before="20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территориальной программой обязательного медицинского страхования, в условиях чрезвычайной ситуации и (или) при возникновении угрозы распространения заболеваний, </w:t>
      </w:r>
      <w:proofErr w:type="gramStart"/>
      <w:r w:rsidRPr="004F75F0">
        <w:rPr>
          <w:rFonts w:ascii="PT Astra Serif" w:hAnsi="PT Astra Serif"/>
          <w:sz w:val="28"/>
          <w:szCs w:val="28"/>
        </w:rPr>
        <w:t>представляющих опасность для окружающих.</w:t>
      </w:r>
      <w:proofErr w:type="gramEnd"/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lastRenderedPageBreak/>
        <w:t>Статья 7. Норматив расходов на ведение дела по обязательному медицинскому страхованию страховых медицинских организаций, участвующих в реализации территориальной программы обязательного медицинского страхования Саратовской области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 xml:space="preserve">Установить норматив расходов на ведение дела по обязательному медицинскому страхованию для страховых медицинских организаций, участвующих в реализации территориальной программы обязательного медицинского страхования Саратовской области, с 1 января 2023 года в размере одного процента от суммы средств, поступивших в страховую медицинскую организацию по дифференцированным </w:t>
      </w:r>
      <w:proofErr w:type="spellStart"/>
      <w:r w:rsidRPr="004F75F0">
        <w:rPr>
          <w:rFonts w:ascii="PT Astra Serif" w:hAnsi="PT Astra Serif"/>
          <w:sz w:val="28"/>
          <w:szCs w:val="28"/>
        </w:rPr>
        <w:t>подушевым</w:t>
      </w:r>
      <w:proofErr w:type="spellEnd"/>
      <w:r w:rsidRPr="004F75F0">
        <w:rPr>
          <w:rFonts w:ascii="PT Astra Serif" w:hAnsi="PT Astra Serif"/>
          <w:sz w:val="28"/>
          <w:szCs w:val="28"/>
        </w:rPr>
        <w:t xml:space="preserve"> нормативам финансового обеспечения обязательного медицинского страхования.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Title"/>
        <w:ind w:firstLine="540"/>
        <w:jc w:val="both"/>
        <w:outlineLvl w:val="1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Статья 8. Вступление в силу настоящего Закона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ind w:firstLine="540"/>
        <w:jc w:val="both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Настоящий Закон вступает в силу с 1 января 2023 года.</w:t>
      </w:r>
    </w:p>
    <w:p w:rsidR="004F75F0" w:rsidRPr="004F75F0" w:rsidRDefault="004F75F0" w:rsidP="004F75F0">
      <w:pPr>
        <w:pStyle w:val="ConsPlusNormal0"/>
        <w:jc w:val="both"/>
        <w:rPr>
          <w:rFonts w:ascii="PT Astra Serif" w:hAnsi="PT Astra Serif"/>
          <w:sz w:val="28"/>
          <w:szCs w:val="28"/>
        </w:rPr>
      </w:pPr>
    </w:p>
    <w:p w:rsidR="004F75F0" w:rsidRPr="004F75F0" w:rsidRDefault="004F75F0" w:rsidP="004F75F0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Губернатор</w:t>
      </w:r>
    </w:p>
    <w:p w:rsidR="004F75F0" w:rsidRPr="004F75F0" w:rsidRDefault="004F75F0" w:rsidP="004F75F0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Саратовской области</w:t>
      </w:r>
    </w:p>
    <w:p w:rsidR="004F75F0" w:rsidRPr="004F75F0" w:rsidRDefault="004F75F0" w:rsidP="004F75F0">
      <w:pPr>
        <w:pStyle w:val="ConsPlusNormal0"/>
        <w:jc w:val="right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Р.В.БУСАРГИН</w:t>
      </w:r>
    </w:p>
    <w:p w:rsidR="004F75F0" w:rsidRPr="004F75F0" w:rsidRDefault="004F75F0" w:rsidP="004F75F0">
      <w:pPr>
        <w:pStyle w:val="ConsPlusNormal0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г. Саратов</w:t>
      </w:r>
    </w:p>
    <w:p w:rsidR="004F75F0" w:rsidRPr="004F75F0" w:rsidRDefault="004F75F0" w:rsidP="004F75F0">
      <w:pPr>
        <w:pStyle w:val="ConsPlusNormal0"/>
        <w:spacing w:before="200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28 ноября 2022 года</w:t>
      </w:r>
    </w:p>
    <w:p w:rsidR="004F75F0" w:rsidRPr="004F75F0" w:rsidRDefault="004F75F0" w:rsidP="004F75F0">
      <w:pPr>
        <w:pStyle w:val="ConsPlusNormal0"/>
        <w:spacing w:before="200"/>
        <w:rPr>
          <w:rFonts w:ascii="PT Astra Serif" w:hAnsi="PT Astra Serif"/>
          <w:sz w:val="28"/>
          <w:szCs w:val="28"/>
        </w:rPr>
      </w:pPr>
      <w:r w:rsidRPr="004F75F0">
        <w:rPr>
          <w:rFonts w:ascii="PT Astra Serif" w:hAnsi="PT Astra Serif"/>
          <w:sz w:val="28"/>
          <w:szCs w:val="28"/>
        </w:rPr>
        <w:t>N 143-ЗСО</w:t>
      </w:r>
    </w:p>
    <w:sectPr w:rsidR="004F75F0" w:rsidRPr="004F75F0" w:rsidSect="005847A0">
      <w:headerReference w:type="default" r:id="rId11"/>
      <w:pgSz w:w="11906" w:h="16838"/>
      <w:pgMar w:top="425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11CA" w:rsidRDefault="008E11CA" w:rsidP="005847A0">
      <w:r>
        <w:separator/>
      </w:r>
    </w:p>
  </w:endnote>
  <w:endnote w:type="continuationSeparator" w:id="0">
    <w:p w:rsidR="008E11CA" w:rsidRDefault="008E11CA" w:rsidP="00584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DL">
    <w:altName w:val="Times New Roman"/>
    <w:charset w:val="CC"/>
    <w:family w:val="auto"/>
    <w:pitch w:val="variable"/>
    <w:sig w:usb0="00000203" w:usb1="00000000" w:usb2="00000000" w:usb3="00000000" w:csb0="00000005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11CA" w:rsidRDefault="008E11CA" w:rsidP="005847A0">
      <w:r>
        <w:separator/>
      </w:r>
    </w:p>
  </w:footnote>
  <w:footnote w:type="continuationSeparator" w:id="0">
    <w:p w:rsidR="008E11CA" w:rsidRDefault="008E11CA" w:rsidP="005847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67398166"/>
      <w:docPartObj>
        <w:docPartGallery w:val="Page Numbers (Top of Page)"/>
        <w:docPartUnique/>
      </w:docPartObj>
    </w:sdtPr>
    <w:sdtEndPr/>
    <w:sdtContent>
      <w:p w:rsidR="005847A0" w:rsidRDefault="005847A0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5F0">
          <w:rPr>
            <w:noProof/>
          </w:rPr>
          <w:t>2</w:t>
        </w:r>
        <w:r>
          <w:fldChar w:fldCharType="end"/>
        </w:r>
      </w:p>
    </w:sdtContent>
  </w:sdt>
  <w:p w:rsidR="005847A0" w:rsidRDefault="005847A0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AFBAE922"/>
    <w:lvl w:ilvl="0">
      <w:start w:val="1"/>
      <w:numFmt w:val="decimal"/>
      <w:lvlText w:val="%1)"/>
      <w:lvlJc w:val="left"/>
      <w:pPr>
        <w:tabs>
          <w:tab w:val="num" w:pos="1211"/>
        </w:tabs>
        <w:ind w:left="1211" w:hanging="360"/>
      </w:pPr>
      <w:rPr>
        <w:b w:val="0"/>
      </w:rPr>
    </w:lvl>
    <w:lvl w:ilvl="1">
      <w:start w:val="1"/>
      <w:numFmt w:val="lowerLetter"/>
      <w:pStyle w:val="2"/>
      <w:lvlText w:val="%2."/>
      <w:lvlJc w:val="left"/>
      <w:pPr>
        <w:tabs>
          <w:tab w:val="num" w:pos="1931"/>
        </w:tabs>
        <w:ind w:left="1931" w:hanging="360"/>
      </w:pPr>
    </w:lvl>
    <w:lvl w:ilvl="2">
      <w:start w:val="1"/>
      <w:numFmt w:val="lowerRoman"/>
      <w:lvlText w:val="%3."/>
      <w:lvlJc w:val="left"/>
      <w:pPr>
        <w:tabs>
          <w:tab w:val="num" w:pos="2651"/>
        </w:tabs>
        <w:ind w:left="2651" w:hanging="180"/>
      </w:pPr>
    </w:lvl>
    <w:lvl w:ilvl="3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>
      <w:start w:val="1"/>
      <w:numFmt w:val="lowerRoman"/>
      <w:pStyle w:val="6"/>
      <w:lvlText w:val="%6."/>
      <w:lvlJc w:val="left"/>
      <w:pPr>
        <w:tabs>
          <w:tab w:val="num" w:pos="4811"/>
        </w:tabs>
        <w:ind w:left="4811" w:hanging="180"/>
      </w:pPr>
    </w:lvl>
    <w:lvl w:ilvl="6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>
      <w:start w:val="1"/>
      <w:numFmt w:val="lowerRoman"/>
      <w:lvlText w:val="%9."/>
      <w:lvlJc w:val="left"/>
      <w:pPr>
        <w:tabs>
          <w:tab w:val="num" w:pos="6971"/>
        </w:tabs>
        <w:ind w:left="6971" w:hanging="18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F3B7821"/>
    <w:multiLevelType w:val="hybridMultilevel"/>
    <w:tmpl w:val="04F0DD06"/>
    <w:lvl w:ilvl="0" w:tplc="5AA62D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ED41C1F"/>
    <w:multiLevelType w:val="hybridMultilevel"/>
    <w:tmpl w:val="72B29F8C"/>
    <w:lvl w:ilvl="0" w:tplc="BB7291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7A0"/>
    <w:rsid w:val="00013A0B"/>
    <w:rsid w:val="004F75F0"/>
    <w:rsid w:val="005847A0"/>
    <w:rsid w:val="006C4724"/>
    <w:rsid w:val="006E2B41"/>
    <w:rsid w:val="008E11CA"/>
    <w:rsid w:val="0099613A"/>
    <w:rsid w:val="00BC32D0"/>
    <w:rsid w:val="00D57348"/>
    <w:rsid w:val="00EF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4F75F0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annotation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7A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847A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847A0"/>
    <w:pPr>
      <w:keepNext/>
      <w:numPr>
        <w:ilvl w:val="1"/>
        <w:numId w:val="1"/>
      </w:numPr>
      <w:suppressAutoHyphens/>
      <w:autoSpaceDN/>
      <w:adjustRightInd/>
      <w:ind w:left="1845"/>
      <w:jc w:val="center"/>
      <w:outlineLvl w:val="1"/>
    </w:pPr>
    <w:rPr>
      <w:rFonts w:ascii="HelvDL" w:hAnsi="HelvDL"/>
      <w:b/>
      <w:sz w:val="28"/>
      <w:lang w:eastAsia="ar-SA"/>
    </w:rPr>
  </w:style>
  <w:style w:type="paragraph" w:styleId="6">
    <w:name w:val="heading 6"/>
    <w:basedOn w:val="a"/>
    <w:next w:val="a"/>
    <w:link w:val="60"/>
    <w:qFormat/>
    <w:rsid w:val="005847A0"/>
    <w:pPr>
      <w:keepNext/>
      <w:numPr>
        <w:ilvl w:val="5"/>
        <w:numId w:val="1"/>
      </w:numPr>
      <w:suppressAutoHyphens/>
      <w:overflowPunct/>
      <w:autoSpaceDE/>
      <w:autoSpaceDN/>
      <w:adjustRightInd/>
      <w:ind w:left="4725"/>
      <w:jc w:val="both"/>
      <w:textAlignment w:val="auto"/>
      <w:outlineLvl w:val="5"/>
    </w:pPr>
    <w:rPr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47A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5847A0"/>
    <w:rPr>
      <w:rFonts w:ascii="HelvDL" w:eastAsia="Times New Roman" w:hAnsi="HelvDL" w:cs="Times New Roman"/>
      <w:b/>
      <w:sz w:val="28"/>
      <w:lang w:eastAsia="ar-SA"/>
    </w:rPr>
  </w:style>
  <w:style w:type="character" w:customStyle="1" w:styleId="60">
    <w:name w:val="Заголовок 6 Знак"/>
    <w:basedOn w:val="a0"/>
    <w:link w:val="6"/>
    <w:rsid w:val="005847A0"/>
    <w:rPr>
      <w:rFonts w:ascii="Times New Roman" w:eastAsia="Times New Roman" w:hAnsi="Times New Roman" w:cs="Times New Roman"/>
      <w:sz w:val="28"/>
      <w:lang w:eastAsia="ar-SA"/>
    </w:rPr>
  </w:style>
  <w:style w:type="paragraph" w:customStyle="1" w:styleId="a3">
    <w:name w:val="Текст документа"/>
    <w:basedOn w:val="a"/>
    <w:rsid w:val="005847A0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5847A0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5847A0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5847A0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5847A0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5847A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5847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847A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4">
    <w:name w:val="Основной шрифт абзаца14"/>
    <w:rsid w:val="005847A0"/>
  </w:style>
  <w:style w:type="paragraph" w:customStyle="1" w:styleId="32">
    <w:name w:val="Основной текст 32"/>
    <w:basedOn w:val="a"/>
    <w:rsid w:val="005847A0"/>
    <w:pPr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styleId="ab">
    <w:name w:val="header"/>
    <w:basedOn w:val="a"/>
    <w:link w:val="ac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paragraph" w:styleId="ad">
    <w:name w:val="footer"/>
    <w:basedOn w:val="a"/>
    <w:link w:val="ae"/>
    <w:uiPriority w:val="99"/>
    <w:unhideWhenUsed/>
    <w:rsid w:val="005847A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5847A0"/>
    <w:rPr>
      <w:rFonts w:ascii="Times New Roman" w:eastAsia="Times New Roman" w:hAnsi="Times New Roman" w:cs="Times New Roman"/>
      <w:lang w:eastAsia="ru-RU"/>
    </w:rPr>
  </w:style>
  <w:style w:type="character" w:customStyle="1" w:styleId="9">
    <w:name w:val="Основной шрифт абзаца9"/>
    <w:rsid w:val="005847A0"/>
  </w:style>
  <w:style w:type="character" w:customStyle="1" w:styleId="8">
    <w:name w:val="Основной шрифт абзаца8"/>
    <w:rsid w:val="005847A0"/>
  </w:style>
  <w:style w:type="character" w:customStyle="1" w:styleId="7">
    <w:name w:val="Основной шрифт абзаца7"/>
    <w:rsid w:val="005847A0"/>
  </w:style>
  <w:style w:type="character" w:customStyle="1" w:styleId="61">
    <w:name w:val="Основной шрифт абзаца6"/>
    <w:rsid w:val="005847A0"/>
  </w:style>
  <w:style w:type="character" w:customStyle="1" w:styleId="5">
    <w:name w:val="Основной шрифт абзаца5"/>
    <w:rsid w:val="005847A0"/>
  </w:style>
  <w:style w:type="character" w:customStyle="1" w:styleId="Absatz-Standardschriftart">
    <w:name w:val="Absatz-Standardschriftart"/>
    <w:rsid w:val="005847A0"/>
  </w:style>
  <w:style w:type="character" w:customStyle="1" w:styleId="WW-Absatz-Standardschriftart">
    <w:name w:val="WW-Absatz-Standardschriftart"/>
    <w:rsid w:val="005847A0"/>
  </w:style>
  <w:style w:type="character" w:customStyle="1" w:styleId="4">
    <w:name w:val="Основной шрифт абзаца4"/>
    <w:rsid w:val="005847A0"/>
  </w:style>
  <w:style w:type="character" w:customStyle="1" w:styleId="3">
    <w:name w:val="Основной шрифт абзаца3"/>
    <w:rsid w:val="005847A0"/>
  </w:style>
  <w:style w:type="character" w:customStyle="1" w:styleId="21">
    <w:name w:val="Основной шрифт абзаца2"/>
    <w:rsid w:val="005847A0"/>
  </w:style>
  <w:style w:type="character" w:customStyle="1" w:styleId="WW-Absatz-Standardschriftart1">
    <w:name w:val="WW-Absatz-Standardschriftart1"/>
    <w:rsid w:val="005847A0"/>
  </w:style>
  <w:style w:type="character" w:customStyle="1" w:styleId="11">
    <w:name w:val="Основной шрифт абзаца1"/>
    <w:rsid w:val="005847A0"/>
  </w:style>
  <w:style w:type="character" w:customStyle="1" w:styleId="af">
    <w:name w:val="Символ нумерации"/>
    <w:rsid w:val="005847A0"/>
  </w:style>
  <w:style w:type="character" w:customStyle="1" w:styleId="ConsPlusNormal">
    <w:name w:val="ConsPlusNormal Знак"/>
    <w:rsid w:val="005847A0"/>
    <w:rPr>
      <w:rFonts w:ascii="Arial" w:hAnsi="Arial" w:cs="Arial"/>
      <w:lang w:val="ru-RU" w:eastAsia="ar-SA" w:bidi="ar-SA"/>
    </w:rPr>
  </w:style>
  <w:style w:type="paragraph" w:customStyle="1" w:styleId="af0">
    <w:name w:val="Заголовок"/>
    <w:basedOn w:val="a"/>
    <w:next w:val="af1"/>
    <w:rsid w:val="005847A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1">
    <w:name w:val="Body Text"/>
    <w:basedOn w:val="a"/>
    <w:link w:val="af2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24"/>
      <w:lang w:eastAsia="ar-SA"/>
    </w:rPr>
  </w:style>
  <w:style w:type="character" w:customStyle="1" w:styleId="af2">
    <w:name w:val="Основной текст Знак"/>
    <w:basedOn w:val="a0"/>
    <w:link w:val="af1"/>
    <w:rsid w:val="005847A0"/>
    <w:rPr>
      <w:rFonts w:ascii="Times New Roman" w:eastAsia="Times New Roman" w:hAnsi="Times New Roman" w:cs="Times New Roman"/>
      <w:sz w:val="24"/>
      <w:lang w:eastAsia="ar-SA"/>
    </w:rPr>
  </w:style>
  <w:style w:type="paragraph" w:styleId="af3">
    <w:name w:val="List"/>
    <w:basedOn w:val="af1"/>
    <w:rsid w:val="005847A0"/>
    <w:rPr>
      <w:rFonts w:ascii="Arial" w:hAnsi="Arial" w:cs="Tahoma"/>
    </w:rPr>
  </w:style>
  <w:style w:type="paragraph" w:customStyle="1" w:styleId="90">
    <w:name w:val="Название9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1">
    <w:name w:val="Указатель9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0">
    <w:name w:val="Название8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1">
    <w:name w:val="Указатель8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0">
    <w:name w:val="Название7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1">
    <w:name w:val="Указатель7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2">
    <w:name w:val="Название6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3">
    <w:name w:val="Указатель6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0">
    <w:name w:val="Название5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1">
    <w:name w:val="Указатель5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0">
    <w:name w:val="Название4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1">
    <w:name w:val="Указатель4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0">
    <w:name w:val="Название3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1">
    <w:name w:val="Указатель3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2">
    <w:name w:val="Название2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3">
    <w:name w:val="Указатель2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2">
    <w:name w:val="Название1"/>
    <w:basedOn w:val="a"/>
    <w:rsid w:val="005847A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3">
    <w:name w:val="Указатель1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10">
    <w:name w:val="Основной текст 31"/>
    <w:basedOn w:val="a"/>
    <w:rsid w:val="005847A0"/>
    <w:pPr>
      <w:suppressAutoHyphens/>
      <w:overflowPunct/>
      <w:autoSpaceDE/>
      <w:autoSpaceDN/>
      <w:adjustRightInd/>
      <w:spacing w:after="120"/>
      <w:textAlignment w:val="auto"/>
    </w:pPr>
    <w:rPr>
      <w:sz w:val="16"/>
      <w:szCs w:val="16"/>
      <w:lang w:eastAsia="ar-SA"/>
    </w:rPr>
  </w:style>
  <w:style w:type="paragraph" w:customStyle="1" w:styleId="af4">
    <w:name w:val="Содержимое таблицы"/>
    <w:basedOn w:val="a"/>
    <w:rsid w:val="005847A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5">
    <w:name w:val="Заголовок таблицы"/>
    <w:basedOn w:val="af4"/>
    <w:rsid w:val="005847A0"/>
    <w:pPr>
      <w:jc w:val="center"/>
    </w:pPr>
    <w:rPr>
      <w:b/>
      <w:bCs/>
    </w:rPr>
  </w:style>
  <w:style w:type="paragraph" w:customStyle="1" w:styleId="ConsPlusNormal0">
    <w:name w:val="ConsPlusNormal"/>
    <w:rsid w:val="005847A0"/>
    <w:pPr>
      <w:widowControl w:val="0"/>
      <w:suppressAutoHyphens/>
      <w:autoSpaceDE w:val="0"/>
      <w:ind w:firstLine="720"/>
    </w:pPr>
    <w:rPr>
      <w:rFonts w:ascii="Arial" w:eastAsia="Arial" w:hAnsi="Arial"/>
      <w:lang w:eastAsia="ar-SA"/>
    </w:rPr>
  </w:style>
  <w:style w:type="character" w:styleId="af6">
    <w:name w:val="annotation reference"/>
    <w:rsid w:val="005847A0"/>
    <w:rPr>
      <w:sz w:val="16"/>
      <w:szCs w:val="16"/>
    </w:rPr>
  </w:style>
  <w:style w:type="paragraph" w:styleId="af7">
    <w:name w:val="annotation text"/>
    <w:basedOn w:val="a"/>
    <w:link w:val="af8"/>
    <w:rsid w:val="005847A0"/>
    <w:pPr>
      <w:suppressAutoHyphens/>
      <w:overflowPunct/>
      <w:autoSpaceDE/>
      <w:autoSpaceDN/>
      <w:adjustRightInd/>
      <w:textAlignment w:val="auto"/>
    </w:pPr>
    <w:rPr>
      <w:lang w:eastAsia="ar-SA"/>
    </w:rPr>
  </w:style>
  <w:style w:type="character" w:customStyle="1" w:styleId="af8">
    <w:name w:val="Текст примечания Знак"/>
    <w:basedOn w:val="a0"/>
    <w:link w:val="af7"/>
    <w:rsid w:val="005847A0"/>
    <w:rPr>
      <w:rFonts w:ascii="Times New Roman" w:eastAsia="Times New Roman" w:hAnsi="Times New Roman" w:cs="Times New Roman"/>
      <w:lang w:eastAsia="ar-SA"/>
    </w:rPr>
  </w:style>
  <w:style w:type="paragraph" w:styleId="af9">
    <w:name w:val="annotation subject"/>
    <w:basedOn w:val="af7"/>
    <w:next w:val="af7"/>
    <w:link w:val="afa"/>
    <w:rsid w:val="005847A0"/>
    <w:rPr>
      <w:b/>
      <w:bCs/>
    </w:rPr>
  </w:style>
  <w:style w:type="character" w:customStyle="1" w:styleId="afa">
    <w:name w:val="Тема примечания Знак"/>
    <w:basedOn w:val="af8"/>
    <w:link w:val="af9"/>
    <w:rsid w:val="005847A0"/>
    <w:rPr>
      <w:rFonts w:ascii="Times New Roman" w:eastAsia="Times New Roman" w:hAnsi="Times New Roman" w:cs="Times New Roman"/>
      <w:b/>
      <w:bCs/>
      <w:lang w:eastAsia="ar-SA"/>
    </w:rPr>
  </w:style>
  <w:style w:type="paragraph" w:customStyle="1" w:styleId="afb">
    <w:name w:val="Прижатый влево"/>
    <w:basedOn w:val="a"/>
    <w:next w:val="a"/>
    <w:uiPriority w:val="99"/>
    <w:rsid w:val="005847A0"/>
    <w:pPr>
      <w:overflowPunct/>
      <w:textAlignment w:val="auto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rsid w:val="004F75F0"/>
    <w:pPr>
      <w:widowControl w:val="0"/>
      <w:autoSpaceDE w:val="0"/>
      <w:autoSpaceDN w:val="0"/>
    </w:pPr>
    <w:rPr>
      <w:rFonts w:eastAsiaTheme="minorEastAsia" w:cs="Calibri"/>
      <w:b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A78FEB0712FA1E86077A5D8C875A0DFFAA16214CADB597A587A4D450A09C2D68FDADFD45926E13A19D60D2A32F525A1150FA30BEY2vE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B4500B-530B-44D4-AC80-0FFD683D13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2020-10-09T15:23:00Z</dcterms:created>
  <dcterms:modified xsi:type="dcterms:W3CDTF">2022-12-02T05:54:00Z</dcterms:modified>
</cp:coreProperties>
</file>