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>Доклад</w:t>
      </w:r>
    </w:p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исполняющего обязанности министра финансов области </w:t>
      </w:r>
      <w:proofErr w:type="spellStart"/>
      <w:r w:rsidRPr="008B4BD9">
        <w:rPr>
          <w:rFonts w:ascii="PT Astra Serif" w:eastAsia="Calibri" w:hAnsi="PT Astra Serif"/>
          <w:b/>
          <w:szCs w:val="28"/>
          <w:lang w:eastAsia="en-US"/>
        </w:rPr>
        <w:t>Бегининой</w:t>
      </w:r>
      <w:proofErr w:type="spellEnd"/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 И.С. на публичных слушаниях  «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О проекте закона Саратовской области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«Об областном бюджете на 202</w:t>
      </w:r>
      <w:r w:rsidR="008B4BD9" w:rsidRPr="008B4BD9">
        <w:rPr>
          <w:rFonts w:ascii="PT Astra Serif" w:hAnsi="PT Astra Serif"/>
          <w:b/>
          <w:bCs/>
          <w:szCs w:val="28"/>
          <w:lang w:eastAsia="ar-SA"/>
        </w:rPr>
        <w:t>3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 и плановый период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202</w:t>
      </w:r>
      <w:r w:rsidR="008B4BD9" w:rsidRPr="008B4BD9">
        <w:rPr>
          <w:rFonts w:ascii="PT Astra Serif" w:hAnsi="PT Astra Serif"/>
          <w:b/>
          <w:bCs/>
          <w:szCs w:val="28"/>
          <w:lang w:eastAsia="ar-SA"/>
        </w:rPr>
        <w:t>4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и 202</w:t>
      </w:r>
      <w:r w:rsidR="008B4BD9" w:rsidRPr="008B4BD9">
        <w:rPr>
          <w:rFonts w:ascii="PT Astra Serif" w:hAnsi="PT Astra Serif"/>
          <w:b/>
          <w:bCs/>
          <w:szCs w:val="28"/>
          <w:lang w:eastAsia="ar-SA"/>
        </w:rPr>
        <w:t>5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годов</w:t>
      </w:r>
      <w:r w:rsidRPr="008B4BD9">
        <w:rPr>
          <w:rFonts w:ascii="PT Astra Serif" w:hAnsi="PT Astra Serif"/>
          <w:b/>
          <w:szCs w:val="28"/>
          <w:lang w:eastAsia="ar-SA"/>
        </w:rPr>
        <w:t xml:space="preserve">» </w:t>
      </w:r>
    </w:p>
    <w:p w:rsidR="00E041B1" w:rsidRPr="008B4BD9" w:rsidRDefault="00E041B1" w:rsidP="0010347D">
      <w:pPr>
        <w:ind w:left="5103"/>
        <w:rPr>
          <w:rFonts w:ascii="PT Astra Serif" w:hAnsi="PT Astra Serif"/>
          <w:b/>
          <w:i/>
          <w:sz w:val="24"/>
        </w:rPr>
      </w:pPr>
    </w:p>
    <w:p w:rsidR="0010347D" w:rsidRPr="008B4BD9" w:rsidRDefault="0010347D" w:rsidP="0010347D">
      <w:pPr>
        <w:jc w:val="center"/>
        <w:rPr>
          <w:rFonts w:ascii="PT Astra Serif" w:hAnsi="PT Astra Serif"/>
          <w:b/>
          <w:szCs w:val="28"/>
        </w:rPr>
      </w:pPr>
    </w:p>
    <w:p w:rsidR="0010347D" w:rsidRDefault="0010347D" w:rsidP="0010347D">
      <w:pPr>
        <w:jc w:val="center"/>
        <w:rPr>
          <w:rFonts w:ascii="PT Astra Serif" w:hAnsi="PT Astra Serif"/>
          <w:b/>
          <w:szCs w:val="28"/>
        </w:rPr>
      </w:pPr>
      <w:r w:rsidRPr="008B4BD9">
        <w:rPr>
          <w:rFonts w:ascii="PT Astra Serif" w:hAnsi="PT Astra Serif"/>
          <w:b/>
          <w:szCs w:val="28"/>
        </w:rPr>
        <w:t>Уважаемые участники слушаний!</w:t>
      </w:r>
    </w:p>
    <w:p w:rsidR="008B4BD9" w:rsidRDefault="008B4BD9" w:rsidP="0010347D">
      <w:pPr>
        <w:jc w:val="center"/>
        <w:rPr>
          <w:rFonts w:ascii="PT Astra Serif" w:hAnsi="PT Astra Serif"/>
          <w:b/>
          <w:szCs w:val="28"/>
        </w:rPr>
      </w:pP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Разработанный проект закона Саратовской области «Об областном бюджете на 2023 год и плановый период 2024 и 2025 годов» базируется на данных макроэкономического прогноза, основных направлениях налоговой и бюджетной политики на трехлетний период, итогах исполнения областного и местных бюджетов за прошлый год и текущих итогах 2022 года, показателях действующих государственных программ области.</w:t>
      </w:r>
      <w:proofErr w:type="gramEnd"/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>Бюджетная политика в среднесрочном периоде сохраняет преемственность приоритетов предыдущего бюджетного цикла. Ключевыми являются задачи гарантированного исполнения социальных обязательств перед гражданами и достижения обозначенных Президентом России национальных целей.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>При прогнозировании показателей по налоговым и неналоговым источникам доходов учтен ряд новаций налогового и бюджетного законодательства: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>по налогу на прибыль  до 2030 года продлевается централизация части региональной доли налога в размере одного процентного пункта ставки, сохраняется 50%-</w:t>
      </w:r>
      <w:proofErr w:type="spellStart"/>
      <w:r w:rsidRPr="008B4BD9">
        <w:rPr>
          <w:rFonts w:ascii="PT Astra Serif" w:eastAsiaTheme="minorEastAsia" w:hAnsi="PT Astra Serif"/>
          <w:szCs w:val="28"/>
        </w:rPr>
        <w:t>ное</w:t>
      </w:r>
      <w:proofErr w:type="spellEnd"/>
      <w:r w:rsidRPr="008B4BD9">
        <w:rPr>
          <w:rFonts w:ascii="PT Astra Serif" w:eastAsiaTheme="minorEastAsia" w:hAnsi="PT Astra Serif"/>
          <w:szCs w:val="28"/>
        </w:rPr>
        <w:t xml:space="preserve"> ограничение по учету в текущем налоговом периоде убытков прошлых лет, упрощается механизм применения повышающего коэффициента к расходам на НИОКР для уменьшения прибыли налогоплательщиков, упраздняется институт консолидированных групп налогоплательщиков;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 xml:space="preserve">по налогу на доходы физических лиц  расширен перечень оснований для получения налоговых вычетов и усовершенствован порядок их предоставления; 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>по акцизам на крепкий алкоголь остается только два норматива для распределения: компенсация передачи 50% доходов от акцизов на средние дистилляты и компенсация исключения движимого имущества из объектов налогообложения. Остальное распределение будет осуществляться пропорционально объему розничных продаж;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 xml:space="preserve">по налогу на имущество организаций со следующего года вводятся единые сроки; </w:t>
      </w:r>
    </w:p>
    <w:p w:rsidR="008B4BD9" w:rsidRPr="008B4BD9" w:rsidRDefault="008B4BD9" w:rsidP="00647A28">
      <w:pPr>
        <w:ind w:firstLine="709"/>
        <w:contextualSpacing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>по специальным налоговым режимам: упрощенную систему налогообложения смогут применять инвестиционные советники (финансовые консультанты). Также уточняется порядок исчисления налога при смене места нахождения организации в случае, когда в отдельных регионах установлена пониженная налоговая ставка;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lastRenderedPageBreak/>
        <w:t>по налогу на добычу полезных ископаемых расширен перечень объектов налогообложения с установлением ограничения по размеру налога.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>Важной новацией бюджетного и налогового законодательства является введение с 1 января 2023 года института единого налогового счета с консолидацией всех обязанностей налогоплательщика по уплате налогов, сборов, страховых взносов посредством перечисления в бюджетную систему единого налогового платежа. Данный подход практически исключит переплату по разным платежам.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>На региональном уровне изменения направлены на стимулирование развития малого предпринимательства, инвестиционной деятельности, создание привлекательных условий для ведения бизнеса на территориях опережающего социально-экономического развития и особой экономической зоны.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С учетом вступающих в силу в планируемом периоде изменений налогового и бюджетного законодательства, исходя из показателей прогноза социально-экономического развития области, налоговые и иные обязательные платежи в областной бюджет прогнозируются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на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>: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 xml:space="preserve">- 2023 год в объеме 90,3 </w:t>
      </w:r>
      <w:proofErr w:type="gramStart"/>
      <w:r w:rsidRPr="008B4BD9">
        <w:rPr>
          <w:rFonts w:ascii="PT Astra Serif" w:eastAsiaTheme="minorEastAsia" w:hAnsi="PT Astra Serif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/>
          <w:szCs w:val="28"/>
        </w:rPr>
        <w:t xml:space="preserve"> рублей, 107,8% к уточненным бюджетным назначениям текущего года;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 xml:space="preserve">- 2024 год – 96,9 </w:t>
      </w:r>
      <w:proofErr w:type="gramStart"/>
      <w:r w:rsidRPr="008B4BD9">
        <w:rPr>
          <w:rFonts w:ascii="PT Astra Serif" w:eastAsiaTheme="minorEastAsia" w:hAnsi="PT Astra Serif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/>
          <w:szCs w:val="28"/>
        </w:rPr>
        <w:t xml:space="preserve"> рублей, 107,4% к 2023 году;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 xml:space="preserve">- 2025 год – 102,4 </w:t>
      </w:r>
      <w:proofErr w:type="gramStart"/>
      <w:r w:rsidRPr="008B4BD9">
        <w:rPr>
          <w:rFonts w:ascii="PT Astra Serif" w:eastAsiaTheme="minorEastAsia" w:hAnsi="PT Astra Serif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/>
          <w:szCs w:val="28"/>
        </w:rPr>
        <w:t xml:space="preserve"> рублей, 105,7% к 2024 году.</w:t>
      </w:r>
    </w:p>
    <w:p w:rsidR="008B4BD9" w:rsidRPr="008B4BD9" w:rsidRDefault="008B4BD9" w:rsidP="00647A28">
      <w:pPr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 xml:space="preserve">Безвозмездные поступления в областной бюджет в связи с отсутствием распределения между регионами запланированы только в части дотаций из федерального бюджета  – 12,5 </w:t>
      </w:r>
      <w:proofErr w:type="gramStart"/>
      <w:r w:rsidRPr="008B4BD9">
        <w:rPr>
          <w:rFonts w:ascii="PT Astra Serif" w:eastAsiaTheme="minorEastAsia" w:hAnsi="PT Astra Serif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/>
          <w:szCs w:val="28"/>
        </w:rPr>
        <w:t xml:space="preserve"> рублей. Целевые федеральные средства на данном этапе в законопроект не включены, что отразилось на расходных показателях бюджета. </w:t>
      </w:r>
    </w:p>
    <w:p w:rsidR="008B4BD9" w:rsidRPr="008B4BD9" w:rsidRDefault="008B4BD9" w:rsidP="00647A28">
      <w:pPr>
        <w:pStyle w:val="a3"/>
        <w:spacing w:after="0"/>
        <w:ind w:left="0" w:firstLine="709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 xml:space="preserve">На исполнение расходных обязательств области – без учета целевых федеральных средств – в очередном году планируется направить 112,0 </w:t>
      </w:r>
      <w:proofErr w:type="gramStart"/>
      <w:r w:rsidRPr="008B4BD9">
        <w:rPr>
          <w:rFonts w:ascii="PT Astra Serif" w:eastAsiaTheme="minorEastAsia" w:hAnsi="PT Astra Serif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/>
          <w:szCs w:val="28"/>
        </w:rPr>
        <w:t xml:space="preserve"> рублей. Из их общего объема 73,5 </w:t>
      </w:r>
      <w:proofErr w:type="gramStart"/>
      <w:r w:rsidRPr="008B4BD9">
        <w:rPr>
          <w:rFonts w:ascii="PT Astra Serif" w:eastAsiaTheme="minorEastAsia" w:hAnsi="PT Astra Serif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/>
          <w:szCs w:val="28"/>
        </w:rPr>
        <w:t xml:space="preserve"> рублей, или две трети, приходится на отрасли социальной сферы.</w:t>
      </w:r>
    </w:p>
    <w:p w:rsidR="008B4BD9" w:rsidRPr="008B4BD9" w:rsidRDefault="008B4BD9" w:rsidP="00647A2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eastAsiaTheme="minorEastAsia" w:hAnsi="PT Astra Serif"/>
          <w:szCs w:val="28"/>
        </w:rPr>
      </w:pPr>
      <w:r w:rsidRPr="008B4BD9">
        <w:rPr>
          <w:rFonts w:ascii="PT Astra Serif" w:eastAsiaTheme="minorEastAsia" w:hAnsi="PT Astra Serif"/>
          <w:szCs w:val="28"/>
        </w:rPr>
        <w:t>Социальные выплаты рассчитаны с ежегодной индексацией с 1 октября в 2023-2025 годах на прогнозный уровень инфляции, а также с учетом роста тарифов на оплату жилого помещения и коммунальных услуг. Платежи на обязательное медицинское страхование неработающего населения обеспечены в соответствии с утвержденными федеральным законом тарифами.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/>
          <w:sz w:val="28"/>
          <w:szCs w:val="28"/>
        </w:rPr>
      </w:pPr>
      <w:r w:rsidRPr="008B4BD9">
        <w:rPr>
          <w:rFonts w:ascii="PT Astra Serif" w:eastAsiaTheme="minorEastAsia" w:hAnsi="PT Astra Serif"/>
          <w:sz w:val="28"/>
          <w:szCs w:val="28"/>
        </w:rPr>
        <w:t xml:space="preserve">По предварительной оценке, совокупный объем публичных обязательств за счет средств областного и федерального бюджетов составит в 2023 году 18,7 </w:t>
      </w:r>
      <w:proofErr w:type="gramStart"/>
      <w:r w:rsidRPr="008B4BD9">
        <w:rPr>
          <w:rFonts w:ascii="PT Astra Serif" w:eastAsiaTheme="minorEastAsia" w:hAnsi="PT Astra Serif"/>
          <w:sz w:val="28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/>
          <w:sz w:val="28"/>
          <w:szCs w:val="28"/>
        </w:rPr>
        <w:t xml:space="preserve"> рублей.</w:t>
      </w:r>
    </w:p>
    <w:p w:rsidR="008B4BD9" w:rsidRPr="008B4BD9" w:rsidRDefault="008B4BD9" w:rsidP="00647A28">
      <w:pPr>
        <w:pStyle w:val="a3"/>
        <w:tabs>
          <w:tab w:val="left" w:pos="0"/>
        </w:tabs>
        <w:ind w:left="0" w:firstLine="709"/>
        <w:rPr>
          <w:rFonts w:ascii="PT Astra Serif" w:hAnsi="PT Astra Serif"/>
          <w:szCs w:val="28"/>
        </w:rPr>
      </w:pPr>
      <w:r w:rsidRPr="008B4BD9">
        <w:rPr>
          <w:rFonts w:ascii="PT Astra Serif" w:hAnsi="PT Astra Serif"/>
          <w:szCs w:val="28"/>
        </w:rPr>
        <w:t xml:space="preserve">Заложены средства на сохранение целевых ориентиров по заработной плате отдельных категорий работников бюджетной сферы по Указам Президента России 2012 года. Минимальный </w:t>
      </w:r>
      <w:proofErr w:type="gramStart"/>
      <w:r w:rsidRPr="008B4BD9">
        <w:rPr>
          <w:rFonts w:ascii="PT Astra Serif" w:hAnsi="PT Astra Serif"/>
          <w:szCs w:val="28"/>
        </w:rPr>
        <w:t>размер оплаты труда</w:t>
      </w:r>
      <w:proofErr w:type="gramEnd"/>
      <w:r w:rsidRPr="008B4BD9">
        <w:rPr>
          <w:rFonts w:ascii="PT Astra Serif" w:hAnsi="PT Astra Serif"/>
          <w:szCs w:val="28"/>
        </w:rPr>
        <w:t xml:space="preserve"> предусмотрен с учетом повышения с 1 января 2023 года. Дополнительные расходы областного бюджета на эти цели составят в 2023 году 3,2 </w:t>
      </w:r>
      <w:proofErr w:type="gramStart"/>
      <w:r w:rsidRPr="008B4BD9">
        <w:rPr>
          <w:rFonts w:ascii="PT Astra Serif" w:hAnsi="PT Astra Serif"/>
          <w:szCs w:val="28"/>
        </w:rPr>
        <w:t>млрд</w:t>
      </w:r>
      <w:proofErr w:type="gramEnd"/>
      <w:r w:rsidRPr="008B4BD9">
        <w:rPr>
          <w:rFonts w:ascii="PT Astra Serif" w:hAnsi="PT Astra Serif"/>
          <w:szCs w:val="28"/>
        </w:rPr>
        <w:t xml:space="preserve"> рублей.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lastRenderedPageBreak/>
        <w:t xml:space="preserve">Сохранена финансовая помощь местным бюджетам на обеспечение достигнутого в рамках Указов повышения оплаты труда отдельных категорий работников муниципальных учреждений – 1,3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рублей в 2023 году.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Областной дорожный фонд за счет собственных средств в 2023 году составит 11,5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рублей. Предусмотрены субсидии бюджетам сельских поселений в сумме 1,4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рублей на ремонт и содержание дорог внутри сельских населенных пунктов  из расчета 3,0 тыс. рублей на одного жителя.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>Зарезервированы средства на мероприятия национальных проектов и государственных программ Российской Федерации, мероприятий, связанных с предотвращением влияния ухудшения геополитической и экономической ситуации на развитие отраслей экономики,</w:t>
      </w:r>
      <w:bookmarkStart w:id="0" w:name="_GoBack"/>
      <w:bookmarkEnd w:id="0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с профилактикой и устранением последствий распространения </w:t>
      </w:r>
      <w:proofErr w:type="spellStart"/>
      <w:r w:rsidRPr="008B4BD9">
        <w:rPr>
          <w:rFonts w:ascii="PT Astra Serif" w:eastAsiaTheme="minorEastAsia" w:hAnsi="PT Astra Serif" w:cstheme="minorBidi"/>
          <w:sz w:val="28"/>
          <w:szCs w:val="28"/>
        </w:rPr>
        <w:t>коронавирусной</w:t>
      </w:r>
      <w:proofErr w:type="spell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инфекции.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Суммарные ассигнования по межбюджетным трансфертам местным бюджетам на 2023 год и плановый период без учета целевых федеральных средств составят 33,5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млрд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рублей.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Планируется возобновить предоставление средств на стимулирование (поощрение) органов местного самоуправления по социально-экономическому развитию муниципалитетов – сумма составит по 150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млн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рублей ежегодно.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На реализацию программы поддержки местных инициатив с предоставлением на конкурсной основе субсидий из областного бюджета предусмотрено ежегодно по 140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млн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рублей. 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Для покрытия возникающих в течение финансового года временных кассовых разрывов запланирован лимит предоставления в 2023 году муниципальным образованиям бюджетных кредитов в сумме 400,0 </w:t>
      </w:r>
      <w:proofErr w:type="gramStart"/>
      <w:r w:rsidRPr="008B4BD9">
        <w:rPr>
          <w:rFonts w:ascii="PT Astra Serif" w:eastAsiaTheme="minorEastAsia" w:hAnsi="PT Astra Serif" w:cstheme="minorBidi"/>
          <w:sz w:val="28"/>
          <w:szCs w:val="28"/>
        </w:rPr>
        <w:t>млн</w:t>
      </w:r>
      <w:proofErr w:type="gramEnd"/>
      <w:r w:rsidRPr="008B4BD9">
        <w:rPr>
          <w:rFonts w:ascii="PT Astra Serif" w:eastAsiaTheme="minorEastAsia" w:hAnsi="PT Astra Serif" w:cstheme="minorBidi"/>
          <w:sz w:val="28"/>
          <w:szCs w:val="28"/>
        </w:rPr>
        <w:t xml:space="preserve"> рублей.</w:t>
      </w:r>
      <w:r w:rsidRPr="008B4BD9">
        <w:rPr>
          <w:rFonts w:ascii="PT Astra Serif" w:hAnsi="PT Astra Serif"/>
          <w:sz w:val="28"/>
          <w:szCs w:val="28"/>
        </w:rPr>
        <w:t xml:space="preserve"> </w:t>
      </w:r>
      <w:r w:rsidRPr="008B4BD9">
        <w:rPr>
          <w:rFonts w:ascii="PT Astra Serif" w:eastAsiaTheme="minorEastAsia" w:hAnsi="PT Astra Serif" w:cstheme="minorBidi"/>
          <w:sz w:val="28"/>
          <w:szCs w:val="28"/>
        </w:rPr>
        <w:t>Плата за пользование бюджетными кредитами не увеличится и составит 0,1%.</w:t>
      </w:r>
    </w:p>
    <w:p w:rsidR="008B4BD9" w:rsidRPr="008B4BD9" w:rsidRDefault="008B4BD9" w:rsidP="00647A28">
      <w:pPr>
        <w:pStyle w:val="af"/>
        <w:ind w:left="0" w:firstLine="709"/>
        <w:jc w:val="both"/>
        <w:rPr>
          <w:rFonts w:ascii="PT Astra Serif" w:eastAsiaTheme="minorEastAsia" w:hAnsi="PT Astra Serif" w:cstheme="minorBidi"/>
          <w:sz w:val="28"/>
          <w:szCs w:val="28"/>
        </w:rPr>
      </w:pPr>
      <w:r w:rsidRPr="008B4BD9">
        <w:rPr>
          <w:rFonts w:ascii="PT Astra Serif" w:eastAsiaTheme="minorEastAsia" w:hAnsi="PT Astra Serif" w:cstheme="minorBidi"/>
          <w:sz w:val="28"/>
          <w:szCs w:val="28"/>
        </w:rPr>
        <w:t>Прогнозируемый размер дефицита, объем долговых обязательств и расходов на обслуживание долга в областном бюджете не превышают ограничения, установленные бюджетным законодательством.</w:t>
      </w:r>
    </w:p>
    <w:p w:rsidR="008B4BD9" w:rsidRDefault="008B4BD9" w:rsidP="00647A28">
      <w:pPr>
        <w:ind w:firstLine="709"/>
        <w:jc w:val="both"/>
        <w:rPr>
          <w:rFonts w:ascii="PT Astra Serif" w:eastAsiaTheme="minorHAnsi" w:hAnsi="PT Astra Serif" w:cstheme="minorBidi"/>
          <w:b/>
          <w:bCs/>
          <w:sz w:val="24"/>
        </w:rPr>
      </w:pPr>
    </w:p>
    <w:p w:rsidR="008B4BD9" w:rsidRPr="008B4BD9" w:rsidRDefault="008B4BD9" w:rsidP="00647A28">
      <w:pPr>
        <w:jc w:val="center"/>
        <w:rPr>
          <w:rFonts w:ascii="PT Astra Serif" w:hAnsi="PT Astra Serif"/>
          <w:b/>
          <w:szCs w:val="28"/>
        </w:rPr>
      </w:pPr>
    </w:p>
    <w:sectPr w:rsidR="008B4BD9" w:rsidRPr="008B4BD9" w:rsidSect="0079781C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025" w:rsidRDefault="00250025" w:rsidP="00BA75E3">
      <w:r>
        <w:separator/>
      </w:r>
    </w:p>
  </w:endnote>
  <w:endnote w:type="continuationSeparator" w:id="0">
    <w:p w:rsidR="00250025" w:rsidRDefault="00250025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025" w:rsidRDefault="00250025" w:rsidP="00BA75E3">
      <w:r>
        <w:separator/>
      </w:r>
    </w:p>
  </w:footnote>
  <w:footnote w:type="continuationSeparator" w:id="0">
    <w:p w:rsidR="00250025" w:rsidRDefault="00250025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1753888157"/>
      <w:docPartObj>
        <w:docPartGallery w:val="Page Numbers (Top of Page)"/>
        <w:docPartUnique/>
      </w:docPartObj>
    </w:sdtPr>
    <w:sdtEndPr/>
    <w:sdtContent>
      <w:p w:rsidR="00250025" w:rsidRPr="00BA75E3" w:rsidRDefault="00250025">
        <w:pPr>
          <w:pStyle w:val="a5"/>
          <w:jc w:val="right"/>
          <w:rPr>
            <w:sz w:val="24"/>
          </w:rPr>
        </w:pPr>
        <w:r w:rsidRPr="00BA75E3">
          <w:rPr>
            <w:sz w:val="24"/>
          </w:rPr>
          <w:fldChar w:fldCharType="begin"/>
        </w:r>
        <w:r w:rsidRPr="00BA75E3">
          <w:rPr>
            <w:sz w:val="24"/>
          </w:rPr>
          <w:instrText>PAGE   \* MERGEFORMAT</w:instrText>
        </w:r>
        <w:r w:rsidRPr="00BA75E3">
          <w:rPr>
            <w:sz w:val="24"/>
          </w:rPr>
          <w:fldChar w:fldCharType="separate"/>
        </w:r>
        <w:r w:rsidR="00647A28">
          <w:rPr>
            <w:noProof/>
            <w:sz w:val="24"/>
          </w:rPr>
          <w:t>2</w:t>
        </w:r>
        <w:r w:rsidRPr="00BA75E3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1CAD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37C1"/>
    <w:rsid w:val="00087277"/>
    <w:rsid w:val="00094B01"/>
    <w:rsid w:val="000956B7"/>
    <w:rsid w:val="00095F75"/>
    <w:rsid w:val="00096A76"/>
    <w:rsid w:val="0009703A"/>
    <w:rsid w:val="000A2546"/>
    <w:rsid w:val="000A2AF7"/>
    <w:rsid w:val="000A67EE"/>
    <w:rsid w:val="000B009D"/>
    <w:rsid w:val="000B5FCA"/>
    <w:rsid w:val="000B6B19"/>
    <w:rsid w:val="000C1433"/>
    <w:rsid w:val="000D672E"/>
    <w:rsid w:val="000D6B3F"/>
    <w:rsid w:val="000D71A0"/>
    <w:rsid w:val="000E0266"/>
    <w:rsid w:val="000E0352"/>
    <w:rsid w:val="000E162C"/>
    <w:rsid w:val="0010057C"/>
    <w:rsid w:val="00101CA0"/>
    <w:rsid w:val="0010347D"/>
    <w:rsid w:val="00104FB4"/>
    <w:rsid w:val="00107233"/>
    <w:rsid w:val="001139D3"/>
    <w:rsid w:val="00116BD1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50025"/>
    <w:rsid w:val="0026355F"/>
    <w:rsid w:val="00264FB8"/>
    <w:rsid w:val="00272B3B"/>
    <w:rsid w:val="002750AE"/>
    <w:rsid w:val="00276174"/>
    <w:rsid w:val="00284E2F"/>
    <w:rsid w:val="00285F02"/>
    <w:rsid w:val="00286210"/>
    <w:rsid w:val="00293367"/>
    <w:rsid w:val="002A3098"/>
    <w:rsid w:val="002B2677"/>
    <w:rsid w:val="002C1FC5"/>
    <w:rsid w:val="002C38A9"/>
    <w:rsid w:val="002C4975"/>
    <w:rsid w:val="002C55DC"/>
    <w:rsid w:val="002E43B9"/>
    <w:rsid w:val="00304DA5"/>
    <w:rsid w:val="00305292"/>
    <w:rsid w:val="00307285"/>
    <w:rsid w:val="00315E61"/>
    <w:rsid w:val="00321F8E"/>
    <w:rsid w:val="00323C64"/>
    <w:rsid w:val="00323CB6"/>
    <w:rsid w:val="003274B2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211D"/>
    <w:rsid w:val="00383766"/>
    <w:rsid w:val="00391998"/>
    <w:rsid w:val="00395FF4"/>
    <w:rsid w:val="00396DE2"/>
    <w:rsid w:val="003A6179"/>
    <w:rsid w:val="003B5751"/>
    <w:rsid w:val="003D44FE"/>
    <w:rsid w:val="003D74B2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41650"/>
    <w:rsid w:val="004654A3"/>
    <w:rsid w:val="00467C38"/>
    <w:rsid w:val="00471327"/>
    <w:rsid w:val="004751B9"/>
    <w:rsid w:val="00487287"/>
    <w:rsid w:val="00487412"/>
    <w:rsid w:val="00490D61"/>
    <w:rsid w:val="00496067"/>
    <w:rsid w:val="004A1C6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38A6"/>
    <w:rsid w:val="00506B4C"/>
    <w:rsid w:val="00507695"/>
    <w:rsid w:val="00514D4E"/>
    <w:rsid w:val="005163BA"/>
    <w:rsid w:val="005267D2"/>
    <w:rsid w:val="005339B0"/>
    <w:rsid w:val="00542813"/>
    <w:rsid w:val="00544E51"/>
    <w:rsid w:val="00550741"/>
    <w:rsid w:val="00561952"/>
    <w:rsid w:val="00573FE5"/>
    <w:rsid w:val="00590870"/>
    <w:rsid w:val="005A1E45"/>
    <w:rsid w:val="005A3DD1"/>
    <w:rsid w:val="005A468B"/>
    <w:rsid w:val="005B4A6F"/>
    <w:rsid w:val="005D3F5B"/>
    <w:rsid w:val="005D4935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47A28"/>
    <w:rsid w:val="006661C2"/>
    <w:rsid w:val="00667BA1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7008CB"/>
    <w:rsid w:val="00707F13"/>
    <w:rsid w:val="007137CE"/>
    <w:rsid w:val="00715C51"/>
    <w:rsid w:val="007218A3"/>
    <w:rsid w:val="00724688"/>
    <w:rsid w:val="0074737F"/>
    <w:rsid w:val="00757631"/>
    <w:rsid w:val="00761F2C"/>
    <w:rsid w:val="00763472"/>
    <w:rsid w:val="007635FC"/>
    <w:rsid w:val="00766BC3"/>
    <w:rsid w:val="00767B24"/>
    <w:rsid w:val="007708F7"/>
    <w:rsid w:val="007816AE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E6709"/>
    <w:rsid w:val="007F2A68"/>
    <w:rsid w:val="007F2A6A"/>
    <w:rsid w:val="007F3721"/>
    <w:rsid w:val="008007D7"/>
    <w:rsid w:val="00804368"/>
    <w:rsid w:val="0081237D"/>
    <w:rsid w:val="00813D9A"/>
    <w:rsid w:val="00826474"/>
    <w:rsid w:val="00827C11"/>
    <w:rsid w:val="0083315A"/>
    <w:rsid w:val="0083484A"/>
    <w:rsid w:val="00835313"/>
    <w:rsid w:val="00837FBC"/>
    <w:rsid w:val="00843BB5"/>
    <w:rsid w:val="00845982"/>
    <w:rsid w:val="00847086"/>
    <w:rsid w:val="008500D9"/>
    <w:rsid w:val="00867F8F"/>
    <w:rsid w:val="008763F7"/>
    <w:rsid w:val="00886224"/>
    <w:rsid w:val="0088697E"/>
    <w:rsid w:val="00890107"/>
    <w:rsid w:val="00894E63"/>
    <w:rsid w:val="00896823"/>
    <w:rsid w:val="008A2FCB"/>
    <w:rsid w:val="008B2CFE"/>
    <w:rsid w:val="008B4BD9"/>
    <w:rsid w:val="008C0EC6"/>
    <w:rsid w:val="008D6402"/>
    <w:rsid w:val="008D7117"/>
    <w:rsid w:val="008E06F5"/>
    <w:rsid w:val="008E502F"/>
    <w:rsid w:val="008E625D"/>
    <w:rsid w:val="008F0E32"/>
    <w:rsid w:val="008F2254"/>
    <w:rsid w:val="008F3479"/>
    <w:rsid w:val="008F3DDC"/>
    <w:rsid w:val="008F43AE"/>
    <w:rsid w:val="008F54AE"/>
    <w:rsid w:val="00903CBE"/>
    <w:rsid w:val="00903E4E"/>
    <w:rsid w:val="00913C8F"/>
    <w:rsid w:val="00926B96"/>
    <w:rsid w:val="00931411"/>
    <w:rsid w:val="00937AFE"/>
    <w:rsid w:val="009434AD"/>
    <w:rsid w:val="00943974"/>
    <w:rsid w:val="00945D9E"/>
    <w:rsid w:val="00960B29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A4FA2"/>
    <w:rsid w:val="009B1828"/>
    <w:rsid w:val="009B5F1C"/>
    <w:rsid w:val="009B7A36"/>
    <w:rsid w:val="009C6B9A"/>
    <w:rsid w:val="009D56F1"/>
    <w:rsid w:val="009E1BD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55B7"/>
    <w:rsid w:val="00AE24C0"/>
    <w:rsid w:val="00AF342C"/>
    <w:rsid w:val="00AF5B88"/>
    <w:rsid w:val="00B0452B"/>
    <w:rsid w:val="00B05BFA"/>
    <w:rsid w:val="00B07F14"/>
    <w:rsid w:val="00B158D5"/>
    <w:rsid w:val="00B223B8"/>
    <w:rsid w:val="00B24D39"/>
    <w:rsid w:val="00B30D89"/>
    <w:rsid w:val="00B332D5"/>
    <w:rsid w:val="00B454C0"/>
    <w:rsid w:val="00B47023"/>
    <w:rsid w:val="00B5010D"/>
    <w:rsid w:val="00B531F1"/>
    <w:rsid w:val="00B779ED"/>
    <w:rsid w:val="00B843BF"/>
    <w:rsid w:val="00B95449"/>
    <w:rsid w:val="00BA19D6"/>
    <w:rsid w:val="00BA4594"/>
    <w:rsid w:val="00BA75E3"/>
    <w:rsid w:val="00BA7760"/>
    <w:rsid w:val="00BB67AB"/>
    <w:rsid w:val="00BC249F"/>
    <w:rsid w:val="00BC35E3"/>
    <w:rsid w:val="00BC4A51"/>
    <w:rsid w:val="00BD0D4E"/>
    <w:rsid w:val="00BD417C"/>
    <w:rsid w:val="00BE4705"/>
    <w:rsid w:val="00BE5067"/>
    <w:rsid w:val="00C0173A"/>
    <w:rsid w:val="00C02DFC"/>
    <w:rsid w:val="00C102F3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0D0"/>
    <w:rsid w:val="00C82600"/>
    <w:rsid w:val="00CA06C6"/>
    <w:rsid w:val="00CA2541"/>
    <w:rsid w:val="00CA2CCC"/>
    <w:rsid w:val="00CB109E"/>
    <w:rsid w:val="00CB1192"/>
    <w:rsid w:val="00CB2B46"/>
    <w:rsid w:val="00CB6DDE"/>
    <w:rsid w:val="00CC2A77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7459C"/>
    <w:rsid w:val="00D75009"/>
    <w:rsid w:val="00D80932"/>
    <w:rsid w:val="00D8745C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041B1"/>
    <w:rsid w:val="00E27FF4"/>
    <w:rsid w:val="00E43BD0"/>
    <w:rsid w:val="00E44AF4"/>
    <w:rsid w:val="00E54B7B"/>
    <w:rsid w:val="00E57251"/>
    <w:rsid w:val="00E669FB"/>
    <w:rsid w:val="00E678B7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B0346"/>
    <w:rsid w:val="00EB63B8"/>
    <w:rsid w:val="00EC19C0"/>
    <w:rsid w:val="00EC36EA"/>
    <w:rsid w:val="00EC5495"/>
    <w:rsid w:val="00ED15F4"/>
    <w:rsid w:val="00EE211F"/>
    <w:rsid w:val="00EE253D"/>
    <w:rsid w:val="00EE380C"/>
    <w:rsid w:val="00EE5A7B"/>
    <w:rsid w:val="00EF5CD6"/>
    <w:rsid w:val="00EF64CB"/>
    <w:rsid w:val="00F26116"/>
    <w:rsid w:val="00F31752"/>
    <w:rsid w:val="00F34AAF"/>
    <w:rsid w:val="00F55B52"/>
    <w:rsid w:val="00F5762C"/>
    <w:rsid w:val="00F76B48"/>
    <w:rsid w:val="00F81686"/>
    <w:rsid w:val="00F83BF7"/>
    <w:rsid w:val="00F922EE"/>
    <w:rsid w:val="00F9472D"/>
    <w:rsid w:val="00FA057C"/>
    <w:rsid w:val="00FA7040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0A38C-E859-4A25-A3FD-A197D587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11</cp:revision>
  <cp:lastPrinted>2021-10-14T12:47:00Z</cp:lastPrinted>
  <dcterms:created xsi:type="dcterms:W3CDTF">2021-10-13T17:00:00Z</dcterms:created>
  <dcterms:modified xsi:type="dcterms:W3CDTF">2022-10-18T08:51:00Z</dcterms:modified>
</cp:coreProperties>
</file>