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3DD" w:rsidRPr="00F643DD" w:rsidRDefault="00F643DD" w:rsidP="00A54C0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F643D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12 новых национальных проектов президента России.</w:t>
      </w:r>
    </w:p>
    <w:bookmarkEnd w:id="0"/>
    <w:p w:rsidR="00F643DD" w:rsidRPr="00F643DD" w:rsidRDefault="00F643DD" w:rsidP="004957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2857500" cy="1895475"/>
            <wp:effectExtent l="0" t="0" r="0" b="9525"/>
            <wp:docPr id="1" name="Рисунок 1" descr="http://www.gazetaprotestant.ru/wp-content/uploads/2018/05/проектов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azetaprotestant.ru/wp-content/uploads/2018/05/проектов-300x19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инаугурации 7 мая президент Владимир Путин подписал указ, в котором поставил перед правительством цели, достичь которых надо до 2024 года. Для этого разработают национальные проекты по 12 направлениям социально-экономического развития. Кабинет министров до 1 октября этого года утвердит их, а также прогноз развития страны. Объем средств на реализацию майского указа составит около 25 триллионов рублей, из которых надо изыскать 8 триллионов. На базе приоритетов, установленных указом, будут переформатированы госпрограммы.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12 национальных проектов — это прежде всего информация для бизнеса о том, где и что государство будет делать, куда оно вложит ресурсы и какие условия создаст для частной инициативы. Госслужащие из своих кабинетов не в силах, скажем, добиться роста производительности труда ежегодно на пять процентов, но они могут способствовать созданию условий, чтобы этой проблемой занимался бизнес, а работники не болели, повышали квалификацию и так далее.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Цели и задачи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каких показателей надо достичь?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 Здравоохранение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диспансеризации 2016 года 1 группу здоровья (не имеют заболеваний, минимальный набор факторов риска их развития) имеют 30,86% населения, 2 группу (высокий риск смерти при скрытом течении болезни) — 18,32%, 3 группу (заболевания, требующие наблюдения врача) — 50,82% населения.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снижение смертности населения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трудоспособного возраста до 350 случаев на 100 тысяч населения;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смертности от болезней системы кровообращения — до 450 случаев;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смертности от новообразований — до 185 случаев;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младенческой смертности — до 4,5 случая на тысячу родившихся детей;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реализация программ борьбы с онкологическими и сердечно-сосудистыми заболеваниями;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детского здравоохранения, создание современной инфраструктуры оказания медицинской помощи детям;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системы защиты прав пациентов;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объема экспорта медицинских услуг не менее чем в четыре раза по сравнению с 2017 годом (до миллиарда долларов в год);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завершение формирования сети 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медорганизаций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первичного звена здравоохранения с использованием геоинформационной системы с учетом необходимости строительства врачебных амбулаторий, фельдшерских и фельдшерско-акушерских пунктов в населенных пунктах с населением от 100 до двух тысяч человек;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та же цель — с учетом использования мобильных медицинских комплексов в населенных пунктах с численностью населения менее 100 человек.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 Образование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вхождение России в число 10 ведущих стран мира по качеству общего образования;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обновление содержания и совершенствование методов обучения предметной области «Технология»;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профориентацию;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раннего развития детей до трех лет, реализация программы помощи родителям детей, получающих дошкольное образование в семье;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современной и безопасной цифровой образовательной среды;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системы профессиональных конкурсов в целях предоставления гражданам возможностей для профессионального и карьерного роста;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развития наставничества, поддержки общественных инициатив и проектов, в том числе в сфере 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волонтерства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не менее чем в два раза количества иностранных граждан, обучающихся в вузах и научных организациях, реализация комплекса мер по трудоустройству лучших из них в России.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 Жилье и городская среда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обеспечение доступным жильем семей со средним достатком,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кардинальное повышение комфортности городской среды, повышение индекса качества городской среды на 30 процентов, сокращение количества городов с неблагоприятной средой в два раза;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среды, до 30 процентов;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устойчивого сокращения непригодного для проживания жилищного фонда;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рынка ипотечных ценных бумаг, поэтапный переход от привлечения денежных средств для долевого строительства к другим формам финансирования, обеспечивающим защиту прав граждан и снижение рисков для них;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административной нагрузки на застройщиков;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механизмов развития комфортной городской среды, комплексного развития городов и других населенных пунктов с учетом индекса качества городской среды;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механизмов переселения граждан из непригодного для проживания жилищного фонда, обеспечивающих соблюдение их жилищных прав.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 Экология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эффективное обращение с отходами производства и потребления, включая ликвидацию всех выявленных на 1 января 2018 г. несанкционированных свалок в границах городов;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кардинальное снижение уровня загрязнения атмосферного воздуха в крупных промышленных центрах, в том числе уменьшение не менее чем на 20 процентов совокупного объема выбросов загрязняющих веществ в атмосферный воздух в наиболее загрязненных городах;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качества питьевой воды,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для жителей городов, не оборудованных современными системами централизованного водоснабжения;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биологического разнообразия, в том числе посредством создания не менее 24 новых особо охраняемых природных территорий;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свалок и рекультивация территорий, на которых они размещены, создание условий для вторичной переработки всех запрещенных к захоронению отходов;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 эффективное функционирование во всех субъектах РФ системы общественного контроля, направленной на выявление и ликвидацию несанкционированных свалок;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переселение редких видов животных;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современной инфраструктуры по безопасному обращению с отходами I и II классов опасности;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ликвидация наиболее опасных объектов накопленного экологического вреда в России;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систем водоснабжения с использованием перспективных технологий водоподготовки, включая технологии, разработанные в оборонно-промышленном комплексе;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реализация проекта, направленного на сокращение в три раза доли загрязненных сточных вод, отводимых в реку Волгу, устойчивое функционирование водохозяйственного комплекса Нижней Волги и сохранение экосистемы Волго-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Ахтубинской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поймы;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от мусора берегов и прибрежной акватории озер Байкал, Телецкое, Ладожское, Онежское и рек Волги, Дона, Оби, Енисея, Амура, Урала, Печоры;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инфраструктуры для экотуризма в национальных парках, воспроизводство лесов на всех участках вырубленных и погибших лесных насаждений.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 Автодороги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доли автодорог регионального значения, соответствующих нормативам, в их общей протяженности не менее чем до 50 процентов;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доли перегруженных автодорог федерального и регионального значения в их общей протяженности на 10 процентов;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снижение смертности в ДТП в 3,5 раза по сравнению с 2017 годом;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общедоступной информационной системы контроля за формированием и использованием средств дорожных фондов всех уровней (в 2019 году);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новых технических требований и стандартов обустройства автодорог, в том числе на основе цифровых технологий, направленных на устранение мест концентрации ДТП;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автоматизированных и роботизированных технологий организации дорожного движения и контроля за соблюдением Правил дорожного движения.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 Рынок труда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рост производительности</w:t>
      </w: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средних и крупных предприятиях базовых 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несырьевых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отраслей экономики не ниже 5 процентов в год;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внедрения передовых управленческих, организационных и технологических решений для повышения производительности труда и модернизации фондов, в том числе через предоставление налоговых преференций;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административных ограничений, препятствующих росту производительности, а также замещение устаревших рабочих мест;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системы подготовки кадров, направленной на обучение основам повышения производительности труда, в том числе через цифровые технологии.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 Наука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обеспечение присутствия России</w:t>
      </w:r>
      <w:r w:rsidR="004957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числе пяти ведущих стран мира,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осуществляющих научные исследования и разработки в приоритетных областях;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обеспечение привлекательности работы в России для российских и зарубежных ведущих ученых и молодых перспективных исследователей;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опережающее увеличение внутренних затрат на научные исследования и разработки за счет всех источников по сравнению с ростом внутреннего валового продукта;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передовой инфраструктуры научных исследований и разработок, инновационной деятельности, включая создание и развитие сети уникальных научных установок класса «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мегасайенс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Должны быть созданы не менее 15 научно-образовательных центров мирового уровня на основе интеграции университетов и научных организаций и их кооперации с компаниями реального сектора экономики Российской Федерации.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обновление не менее половины приборной базы ведущих организаций, выполняющих научные исследования и разработки;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научных центров мирового уровня, включая сеть международных математических центров и центров геномных исследований;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 Цифровая экономика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увеличение затрат на развитие цифровой экономики не менее чем в три раза по сравнению с 2017 годом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преимущественно отечественного программного обеспечения органами власти и местного самоуправления;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информационной безопасности на основе отечественных разработок при передаче, обработке и хранении данных;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внедрение цифровых технологий и платформенных решений в сферах государственного управления и оказания 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преобразование здравоохранения, образования, промышленности, сельского хозяйства, строительства, городского хозяйства, транспортной и энергетической инфраструктуры, финансовых услуг посредством внедрения цифровых технологий и платформенных решений.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 Культура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укрепление российской гражданской идентичности на основе духовно-нравственных и культурных ценностей народов;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(реконструкция) культурно-образовательных и музейных комплексов, включающих в себя концертные залы, театральные, музыкальные, хореографические и другие творческие школы, а также выставочные пространства;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детских музыкальных, художественных, хореографических школ, училищ и школ искусств необходимыми инструментами, оборудованием и материалами;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национального молодежного симфонического оркестра;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создание (реконструкция) культурно-досуговых организаций клубного типа в сельских поселениях, создание музейных комплексов, развитие муниципальных библиотек;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создания условий для показа национальных кинофильмов в кинозалах в городах с населением до 500 тысяч человек;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реконструкция и капремонт региональных и муниципальных театров юного зрителя и кукольных театров;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добровольческих движений, в том числе в сфере сохранения культурного наследия народов РФ.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10 Малый бизнес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упрощение налоговой отчетности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цифровой платформы, ориентированной на поддержку производственной и сбытовой деятельности субъектов малого и среднего предпринимательства;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системы закупок крупнейшими заказчиками у субъектов малого и среднего бизнеса;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упрощение доступа к льготному финансированию,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ежегодное увеличение объема льготных кредитов;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модернизация системы поддержки экспортеров, являющихся субъектами малого и среднего предпринимательства, увеличение их доли в общем объеме 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несырьевого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экспорта до 10 процентов;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системы поддержки фермеров и развитие сельской кооперации;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нового режима налогообложения 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граждан, предусматривающего передачу информации о продажах в налоговые органы в автоматическом режиме, освобождение от обязанности представлять отчетность, уплата единого платежа с выручки, включающего в себя страховые взносы.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11 Сотрудничество и экспорт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в обрабатывающей промышленности, сельском хозяйстве, сфере услуг глобальных конкурентоспособных 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несырьевых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секторов, общая доля экспорта товаров (работ, услуг) которых составит не менее 20 процентов ВВП;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достижение объема экспорта (в стоимостном выражении) </w:t>
      </w:r>
      <w:proofErr w:type="spellStart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несырьевых</w:t>
      </w:r>
      <w:proofErr w:type="spellEnd"/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неэнергетических товаров в размере 250 миллиардов долларов в год, в том числе продукции машиностроения — 50 миллиардов долларов и продукции агропромышленного комплекса — 45 миллиардов долларов;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объема экспорта услуг из России в размере 100 миллиардов долларов в год;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эффективной системы разделения труда и производственной кооперации в рамках Евразийского экономического союза в целях увеличения объема торговли между </w:t>
      </w: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государствами — членами Союза не менее чем в полтора раза и обеспечения роста объема накопленных взаимных инвестиций в полтора раза.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промышленной, аграрной и торговой политики, включая применяемые механизмы государственной поддержки, на достижение международной конкурентоспособности российских товаров (работ, услуг) в целях обеспечения их присутствия на внешних рынках;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административных процедур и барьеров в сфере международной торговли, включая отмену избыточных требований при лицензировании экспорта и осуществлении валютного контроля;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к 2021 году взаимодействия субъектов международной торговли с контролирующими органами по принципу «одного окна»;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устранение логистических ограничений при экспорте товаров с использованием железнодорожного, автомобильного и морского транспорта, а также строительство (модернизация) пунктов пропуска через государственную границу;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единой системы институтов продвижения экспорта, модернизация торговых представительств за рубежом;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завершение формирования в рамках ЕАЭС общих рынков товаров, услуг, капитала и рабочей силы,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 окончательное устранение барьеров, ограничений и отмену изъятий в экономическом сотрудничестве, при одновременном активном использовании механизмов совместной проектной деятельности.</w:t>
      </w:r>
    </w:p>
    <w:p w:rsidR="00F643DD" w:rsidRPr="00F643DD" w:rsidRDefault="00F643DD" w:rsidP="00F643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12 Магистральная инфраструктура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времени перевозки контейнеров железнодорожным транспортом, в частности с Дальнего Востока до западной границы до семи дней, и увеличения объема транзитных перевозок контейнеров в четыре раза;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увеличения пропускной способности Байкало-Амурской и Транссибирской железнодорожных магистралей в полтора раза — до 180 миллионов тонн;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реконструкция инфраструктуры региональных аэропортов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расширение сети межрегиональных регулярных пассажирских авиамаршрутов, минуя Москву, до 50 процентов от общего числа внутренних регулярных авиамаршрутов;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и модернизация российских участков автодорог, относящихся к международному транспортному маршруту «Европа — Западный Китай»;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мощностей морских портов, включая порты Дальневосточного, Северо-Западного, Волго-Каспийского и Азово-Черноморского бассейнов;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пропускной способности железнодорожных подходов к морским портам Азово-Черноморского бассейна;</w:t>
      </w:r>
    </w:p>
    <w:p w:rsidR="00F643DD" w:rsidRPr="00F643DD" w:rsidRDefault="00F643DD" w:rsidP="00F643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гарантированное обеспечение доступной электроэнергией, в том числе за счет развития централизованных энергосистем, в соответствии с потребностями социально-экономического развития, развитие распределенной генерации, в том числе на основе возобновляемых источников энергии.</w:t>
      </w:r>
      <w:r w:rsidRPr="00F643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Российская газета — Неделя №7568 (105).</w:t>
      </w:r>
    </w:p>
    <w:p w:rsidR="00EB7EE8" w:rsidRDefault="00EB7EE8"/>
    <w:sectPr w:rsidR="00EB7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24"/>
    <w:rsid w:val="004957D6"/>
    <w:rsid w:val="006D7DD3"/>
    <w:rsid w:val="00A54C05"/>
    <w:rsid w:val="00D37124"/>
    <w:rsid w:val="00EB7EE8"/>
    <w:rsid w:val="00F6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3A0E8-474F-4429-AA00-BD3508F5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43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643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643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3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43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43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osted-on">
    <w:name w:val="posted-on"/>
    <w:basedOn w:val="a0"/>
    <w:rsid w:val="00F643DD"/>
  </w:style>
  <w:style w:type="character" w:customStyle="1" w:styleId="uk-margin-small-right">
    <w:name w:val="uk-margin-small-right"/>
    <w:basedOn w:val="a0"/>
    <w:rsid w:val="00F643DD"/>
  </w:style>
  <w:style w:type="character" w:customStyle="1" w:styleId="uk-button">
    <w:name w:val="uk-button"/>
    <w:basedOn w:val="a0"/>
    <w:rsid w:val="00F643DD"/>
  </w:style>
  <w:style w:type="character" w:styleId="a3">
    <w:name w:val="Hyperlink"/>
    <w:basedOn w:val="a0"/>
    <w:uiPriority w:val="99"/>
    <w:semiHidden/>
    <w:unhideWhenUsed/>
    <w:rsid w:val="00F643D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64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643DD"/>
    <w:rPr>
      <w:b/>
      <w:bCs/>
    </w:rPr>
  </w:style>
  <w:style w:type="character" w:customStyle="1" w:styleId="author">
    <w:name w:val="author"/>
    <w:basedOn w:val="a0"/>
    <w:rsid w:val="00F64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8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8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7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5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9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1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29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2018-08-28T14:38:00Z</dcterms:created>
  <dcterms:modified xsi:type="dcterms:W3CDTF">2018-08-28T15:31:00Z</dcterms:modified>
</cp:coreProperties>
</file>