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296" w:rsidRPr="00C36296" w:rsidRDefault="00C36296" w:rsidP="00C36296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</w:rPr>
        <w:t>Источник: </w:t>
      </w:r>
      <w:hyperlink r:id="rId5" w:tgtFrame="_blank" w:history="1">
        <w:r w:rsidRPr="00C36296">
          <w:rPr>
            <w:rFonts w:ascii="Times New Roman" w:eastAsia="Times New Roman" w:hAnsi="Times New Roman" w:cs="Times New Roman"/>
            <w:i/>
            <w:iCs/>
            <w:sz w:val="24"/>
            <w:szCs w:val="24"/>
            <w:u w:val="single"/>
          </w:rPr>
          <w:t>Официальный журнал Российского инвестиционного форума</w:t>
        </w:r>
      </w:hyperlink>
    </w:p>
    <w:p w:rsidR="009B011D" w:rsidRPr="00C36296" w:rsidRDefault="00566215">
      <w:pPr>
        <w:rPr>
          <w:rFonts w:ascii="Times New Roman" w:hAnsi="Times New Roman" w:cs="Times New Roman"/>
          <w:i/>
          <w:sz w:val="24"/>
          <w:szCs w:val="24"/>
        </w:rPr>
      </w:pPr>
      <w:hyperlink r:id="rId6" w:history="1">
        <w:r w:rsidRPr="00C36296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</w:rPr>
          <w:t>https://roscongress.org/materials/ot-strategii-k-deystviyu-osobennosti-natsionalnykh-proektov-sovremennoy-rossii/</w:t>
        </w:r>
      </w:hyperlink>
    </w:p>
    <w:p w:rsidR="00C36296" w:rsidRDefault="00566215" w:rsidP="00C362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Захар МАКСИМОВ</w:t>
      </w:r>
    </w:p>
    <w:p w:rsidR="00C36296" w:rsidRDefault="00566215" w:rsidP="00C362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66215" w:rsidRPr="00C36296" w:rsidRDefault="00566215" w:rsidP="00C36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C36296">
        <w:rPr>
          <w:rFonts w:ascii="Times New Roman" w:eastAsia="Times New Roman" w:hAnsi="Times New Roman" w:cs="Times New Roman"/>
          <w:b/>
          <w:sz w:val="28"/>
          <w:szCs w:val="24"/>
        </w:rPr>
        <w:t>От стратегии к действию. Особенности национальных проектов современной России</w:t>
      </w:r>
    </w:p>
    <w:p w:rsidR="00C36296" w:rsidRPr="00C36296" w:rsidRDefault="00C36296" w:rsidP="00E90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Термин «национальный проект» появился осенью 2005 года, когда Президент России Владимир Путин выступил с инициативой разработки четырех комплексных программ модернизации страны — «Современное здравоохранение», «Качественное образование», «Доступное жилье» и «Эффективное сельское хозяйство». </w:t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За прошедшие годы формат национальных проектов доказал свою эффективность. Построены новые больницы, школы, детские сады, созданы федеральные научные центры, снизилась смертность и повысилась продолжительность жизни, ипотечное кредитование стало доступным для широких слоев населения, мощный рывок сделало сельское хозяйство.</w:t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Следующий этап развития страны стартовал 7 мая 2018 года с появлением указа Президента России «О национальных целях и стратегических задачах развития Российской Федерации на период до 2024 года». </w:t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Реализация нацпроектов — 2018 — путь к новому качеству экономики и социально-гуманитарной сферы, новому качеству жизни россиян.</w:t>
      </w:r>
    </w:p>
    <w:p w:rsidR="00566215" w:rsidRDefault="00566215" w:rsidP="0028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Национальный проект «Демография»</w:t>
      </w:r>
    </w:p>
    <w:p w:rsidR="00C36296" w:rsidRPr="00C36296" w:rsidRDefault="00C36296" w:rsidP="00C3629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 «сбережении народа» как исторической миссии российского государства еще в середине XVIII века писал Михаил Ломоносов. Ученый не раз говорил о важности сохранения и развития культуры народов России, увеличения численности ее населения. По 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сей день демографические проблемы остаются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 центре общественного внимания. В нашей стране последние годы фиксируется естественная убыль населения, причем потери не компенсируется даже за счет миграции. На этом фоне национальный проект «Демография» воспринимается как один из ключевых в рамках майских указов 2018 года Президента. Он нацелен на повышение качества жизни россиян, создание условий, при которых они будут не просто жить дольше, а вести активный и достойный образ жизни.</w:t>
      </w:r>
      <w:r w:rsid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Большая часть бюджета нацпроекта «Демография» пойдет на поддержку семей при рождении детей, выплату пособий, продление действия материнского, семейного капитала до 2021 года, а также на понижение ипотечной ставки до 6% для семей, в которых родился второй или третий ребенок.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 44 раза увеличится финансирование проживания пожилых граждан в стационарах. В каждом регионе будут созданы гериатрические центры, предприняты шаги, чтобы сделать систему социального обслуживания и ухода за людьми старшего возраста современной и удобной.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81AEA" w:rsidRDefault="00281AEA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Сразу два механизма призваны решить проблему трудоустройства молодых матерей. Правительство рассчитывает создать 255 тыс. новых мест в яслях и ликвидировать очередь, которая существовала на 1 января 2018 года. Для женщин предусмотрены гранты на открытие групп по уходу за детьми. Также с 2020 года мамы, находящиеся в отпуске по уходу за ребенком, смогут повысить свою профессиональную 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квалификацию. В год программы обучения охватят около 45 тыс. женщин. Все это поможет молодым матерям адаптироваться к возвращению на работу либо к ее смене по 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окончании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декретного отпуска.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C36296" w:rsidP="00C36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FC1D7C1" wp14:editId="5A7EDB42">
            <wp:extent cx="5940425" cy="5670291"/>
            <wp:effectExtent l="0" t="0" r="0" b="0"/>
            <wp:docPr id="3" name="Рисунок 3" descr="Демограф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мограф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70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Значительное место в программе отводится здоровому образу жизни, борьбе с вредными привычками. Чтобы привлечь молодежь к занятиям спортом, предполагается улучшить оснащение спортшкол, повысить уровень подготовки тренерского состава. Важная роль отводится социальной рекламе, посвященной здоровому образу жизни, правильному питанию, семейным ценностям и уважению к пожилым людям.</w:t>
      </w:r>
    </w:p>
    <w:p w:rsidR="00566215" w:rsidRDefault="00566215" w:rsidP="00C36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1AEA" w:rsidRDefault="00C36296" w:rsidP="00281AE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 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Татьяна Голикова,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заместитель Председателя Правительства Российской Федерации</w:t>
      </w:r>
    </w:p>
    <w:p w:rsidR="00281AEA" w:rsidRDefault="00281AEA" w:rsidP="00281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Pr="00C36296" w:rsidRDefault="00C36296" w:rsidP="00281AE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 xml:space="preserve">Будут продолжены мероприятия по льготной ставке по ипотечным кредитам для семей при рождении второго, третьего ребенка и последующих детей. Это даст возможность более 1,6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</w:rPr>
        <w:t>млн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</w:rPr>
        <w:t xml:space="preserve"> семей получить помощь и поддержку, в первую очередь проживающих на Дальнем Востоке.</w:t>
      </w:r>
    </w:p>
    <w:p w:rsidR="00C36296" w:rsidRDefault="00566215" w:rsidP="00C3629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«Здравоохранение»</w:t>
      </w:r>
    </w:p>
    <w:p w:rsidR="00C36296" w:rsidRDefault="00C36296" w:rsidP="00C3629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941C0E3" wp14:editId="4A919BAE">
            <wp:extent cx="5940425" cy="6104929"/>
            <wp:effectExtent l="0" t="0" r="0" b="0"/>
            <wp:docPr id="5" name="Рисунок 5" descr="Здравоохран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дравоохране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04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C3629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566215" w:rsidP="00C36296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Национальный проект «Здравоохранение» в первую очередь направлен на улучшение доступности и качества первичной медико-санитарной помощи. Для этого до 2021 года запланировано строительство более 360 новых и обновление более 1,2 тыс. действующих объектов сельского здравоохранения. Будет приобретено свыше 1300 мобильных диагностических медицинских комплексов для жителей малонаселенных и труднодоступных территорий. На 12,5 тыс. увеличится ежегодное число вылетов санитарной авиации при оказании экстренной медицинской помощи.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Следующий момент – внедрение так называемых бережливых технологий, то есть создание комфортной среды в поликлиниках – и детских, и взрослых. Планируется, что в этот проект до 2024 года войдут более 7 тыс. поликлиник и поликлинических отделений.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Совершенствование медицинской помощи детям включает внедрение новых профилактических технологий, модернизацию детских поликлиник и поликлинических 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отделов детских стационаров – это 3,8 тыс. объектов. На реконструкцию детских медицинских учреждений планируется направить 37,6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млрд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рублей.</w:t>
      </w:r>
      <w:r w:rsidR="00C36296"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решения кадровой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проблемы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прежде всего необходимо устранить дефицит специалистов в  первичном звене, поэтому отдельный блок в проекте посвящен доукомплектованию врачебных должностей, должностей среднего медицинского персонала. Целевой показатель – достичь 95% укомплектования.</w:t>
      </w:r>
    </w:p>
    <w:p w:rsidR="00CA2012" w:rsidRDefault="00CA2012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Большое внимание уделяется развитию цифровой медицины. К 2022 году в каждом из 85 регионов должна быть создана полноценная информационная система, соответствующая жестким единым критериям, с подключением к ней всех медицинских организаций. Развивать вторую опцию телемедицины, «врач – пациент», также планируется поэтапно, начиная с 2019 года.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Основные полномочия по оказанию медицинской помощи отданы субъектам федерации. В этой связи планируется на основе национального проекта «Здравоохранение» создать 85 региональных проектов, которые будут отвечать конкретным потребностям конкретных территорий.</w:t>
      </w:r>
    </w:p>
    <w:p w:rsidR="00C36296" w:rsidRPr="00C36296" w:rsidRDefault="00C36296" w:rsidP="00C36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0" o:hralign="center" o:hrstd="t" o:hrnoshade="t" o:hr="t" fillcolor="black" stroked="f"/>
        </w:pic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Вероника Скворцова,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Министр здравоохранения Российской Федерации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Pr="00C36296" w:rsidRDefault="00566215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Наша задача – так построить управление этим нацпроектом, чтобы не было искажений при реализации в регионах. Для этого мы планируем на основе в целом одобренного национального проекта создать 85 региональных проектов. Они будут индивидуализированы по конкретным потребностям конкретного региона, они будут все счетные, понятные, с целевыми показателями, выстроенными по годам.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Национальный проект «Образование»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3E9AE46" wp14:editId="56CF7909">
            <wp:extent cx="6191250" cy="6477000"/>
            <wp:effectExtent l="19050" t="0" r="0" b="0"/>
            <wp:docPr id="7" name="Рисунок 7" descr="Образ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разов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012" w:rsidRDefault="00CA2012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Будущее страны закладывается в школе, где дети учатся осваивать новое, а учителя готовы помочь им стать самостоятельными, творческими и уверенными в себе людьми.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Нацпроект «Образование» ставит целью за шесть лет вывести Россию по качеству общего образования в мировую десятку стран-лидеров. Для этого в школах обновят образовательные программы и внедрят систему оценки качества на основе международных исследований. Появятся уроки технологии на базе передовых компаний и детских технопарков «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Кванториум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». Все образовательные организации обеспечат интернетом, а на уроках будут использовать технологии виртуальной реальности и «цифровых двойников». Для школьников разработают программы обучения по 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индивидуальным планам, в том числе дистанционные, а для талантливых детей во всех регионах откроются центры поддержки.</w:t>
      </w:r>
    </w:p>
    <w:p w:rsidR="00CA2012" w:rsidRDefault="00CA2012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 забыты и родители – вопросы психолого-педагогической и информационной поддержки семей. Мамы и папы смогут получать консультации по вопросам воспитания и образования на специальном сайте. К 2024 году во всех регионах заработают центры помощи родителям.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Национальный проект нацелен не только на обеспечение глобальной конкурентоспособности российского образования, но и на воспитание гармоничной и социально ответственной личности на основе культуры, духовных ценностей и традиций народов России. В этой связи большое внимание уделено наставничеству и развитию волонтерского движения. В стране сформируют сеть центров поддержки добровольчества на базе образовательных и некоммерческих организаций, государственных и муниципальных учреждений. Будет разработана информационная платформа для поиска и обучения добровольцев.</w:t>
      </w: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0" o:hralign="center" o:hrstd="t" o:hrnoshade="t" o:hr="t" fillcolor="black" stroked="f"/>
        </w:pict>
      </w:r>
    </w:p>
    <w:p w:rsidR="00C36296" w:rsidRDefault="00566215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Ольга Васильева,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Министр просвещения Российской Федерации</w:t>
      </w:r>
    </w:p>
    <w:p w:rsidR="00C36296" w:rsidRDefault="00C36296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566215" w:rsidP="00C362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Учитель будущего – это не просто система учительского роста: не менее половины учителей должны будут пройти переподготовку. Это ключевой для меня проект, так как без творческого и профессионального роста учителей выполнить задачи будет просто невозможно.</w:t>
      </w:r>
    </w:p>
    <w:p w:rsidR="00566215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«Жилье и городская среда»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3F7B3D9" wp14:editId="30BB89B6">
            <wp:extent cx="6191250" cy="6238875"/>
            <wp:effectExtent l="19050" t="0" r="0" b="0"/>
            <wp:docPr id="9" name="Рисунок 9" descr="Жилье и городская ср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Жилье и городская сред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Пресловутый «квартирный вопрос» десятилетиями портит жизнь не только москвичам, но и жителям других больших и малых городов. Национальный проект «Жилье и городская среда» призван увеличить объемы жилищного строительства и улучшить механизмы его финансирования, создать условия для переселения людей из непригодных для нормальной жизни помещений в современные и удобные квартиры и дома, провести масштабные мероприятия по благоустройству российских городов.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Для решения этих задач намечен поэтапный отказ от долевого строительства жилья в пользу проектного финансирования. Государство намерено шире вовлекать федеральные земли в оборот строительной отрасли и сокращать административные барьеры для застройщиков, развивать механизмы аренды и социального найма.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Существенно расширятся возможности покупки жилья при помощи ипотеки. Для этого рынок ипотеки будет переведен в электронный формат, а также будет сформирован ликвидный рынок ипотечных ценных бумаг. Количество выданных ипотечных кредитов достигнет 2,26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год, что позволит ежегодно улучшать жилищные условия не менее 5 млн семей. И если сейчас по объемам приобретения лидирует вторичное жилье, то к 2024 году покупки ипотечного жилья в новостройках сравняются со «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вторичкой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Постоянно действующие механизмы расселения и уточнение параметров, по которым дом может быть признан аварийным, помогут сократить непригодное для проживания жилье.  Предполагается предоставить регионам расширенный набор инструментов для реализации программы: выкуп жилья, мена, субсидии на приобретение, развитие застроенных территорий, наемные дома.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Отдельное внимание уделено программам развития городской среды в малых городах и исторических поселениях: ежегодно на конкурсной основе будут отбирать 80 лучших проектов, призванных сохранить самобытность и культуру нашей страны. 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0" o:hralign="center" o:hrstd="t" o:hrnoshade="t" o:hr="t" fillcolor="black" stroked="f"/>
        </w:pic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Владимир Якушев,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Министр строительства и жилищно-коммунального хозяйства Российской Федерации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Default="00566215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 xml:space="preserve">Указ Президента России определяет одну из ключевых целей развития нашей страны – улучшение жилищных условий не менее пяти миллионов семей ежегодно.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</w:rPr>
        <w:t>Эта задача должна решаться за счет здорового роста рынка жилья, где спрос и предложение сбалансированы. </w:t>
      </w:r>
      <w:proofErr w:type="gramEnd"/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2012" w:rsidRDefault="00CA2012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2012" w:rsidRDefault="00CA2012" w:rsidP="00C36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2012" w:rsidRDefault="00CA2012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«Экология»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E773DAE" wp14:editId="1F8617ED">
            <wp:extent cx="6191250" cy="6248400"/>
            <wp:effectExtent l="19050" t="0" r="0" b="0"/>
            <wp:docPr id="11" name="Рисунок 11" descr="Эколог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Экология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24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Глобальная цель нацпроекта «Экология» – радикально изменить воздействие на окружающую среду, перейти к модели рационального природопользования, улучшить качество жизни 20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россиян, которые сегодня проживают в неблагоприятной экологической среде. На пути к чистой стране планируется внедрить комплексную систему обращения с твердыми коммунальными отходами, ликвидировать 191 незаконную свалку по всей стране, а также 43 «наиболее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опасных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объекта накопленного экологического вреда». Кроме того, к 2024 году будут созданы мощности по ежегодной переработке свыше 36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тонн твердых отходов.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три раза – с 3,2 до 1,1 км3 – уменьшится объем сточных вод, сбрасываемых в Волгу. Для сохранения уникальной природы озера Байкал здесь построят и реконструируют очистные сооружения для сточных вод, поступающих в озеро, а также укрепят берега водоема на протяжении без малого сорока километров. Сброс сточных вод в Байкал сократится вдвое.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Около 14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млрд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рублей будет направлено на уборку 216 тонн мусора в различных водоемах по всей стране, восстановление и экологическую реабилитацию озер и рек, в целом на улучшение экологического состояния гидрографической сети. К 2024 году в России появятся 24 новые особо охраняемые природные территории. Посещать их смогут на 2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человек больше, чем сейчас, – в рамках развития инфраструктуры экологического туризма.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Краснокнижных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животных должно стать больше на 3480 особей.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Кроме того, в стране создадут эффективную систему мониторинга и контроля качества атмосферного воздуха. Для повышения качества питьевой воды будут модернизированы системы водоснабжения, построены новые очистные сооружения с использованием перспективных технологий. В результате доля населения России, обеспеченного питьевой водой, составит 99%.</w:t>
      </w:r>
    </w:p>
    <w:p w:rsidR="00AF7063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0" o:hralign="center" o:hrstd="t" o:hrnoshade="t" o:hr="t" fillcolor="black" stroked="f"/>
        </w:pict>
      </w:r>
    </w:p>
    <w:p w:rsidR="00C36296" w:rsidRDefault="00566215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Дмитрий </w:t>
      </w:r>
      <w:proofErr w:type="spellStart"/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Кобылкин</w:t>
      </w:r>
      <w:proofErr w:type="spellEnd"/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Министр природных ресурсов и экологии Российской Федерации</w:t>
      </w:r>
    </w:p>
    <w:p w:rsidR="00C36296" w:rsidRDefault="00C36296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AF70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Колоссальную работу нам предстоит сделать, выполняя указы Президента страны. Рывок, если одним словом. И не выполнить это мы не имеем права. Самое тяжелое и важное – это повышение качества жизни и ее продолжительности в 80+. И это напрямую связано с экологией, чистой водой, здоровым образом жизни. Работать предстоит много, и работать честно.</w:t>
      </w:r>
    </w:p>
    <w:p w:rsidR="00C36296" w:rsidRPr="00C36296" w:rsidRDefault="00C36296" w:rsidP="00C36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7063" w:rsidRDefault="00AF7063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«Безопасные и качественные автомобильные дороги»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61F11DB" wp14:editId="10FCC9DD">
            <wp:extent cx="6191250" cy="6257925"/>
            <wp:effectExtent l="19050" t="0" r="0" b="0"/>
            <wp:docPr id="13" name="Рисунок 13" descr="Безопасные и качественные автомобильные дор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Безопасные и качественные автомобильные дорог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протяжении всей отечественной истории плохие дороги или их отсутствие оставались главным сдерживающим фактором социально-экономического развития страны. Сегодня больше половины автотрасс регионального значения не соответствует нормативным требованиям, и с этим надо что-то делать.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 итогам национального проекта «Безопасные и качественные автомобильные дороги» должны обустроить 85% улично-дорожной сети городских агломераций и не менее половины автомобильных дорог, соединяющих регионы. Также на региональных и местных трассах сократится число особо опасных с точки зрения дорожно-транспортных происшествий участков.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Мало улучшить состояние дорог, нужно позаботиться об их сохранности. Тут понадобятся современные технологии и строительные материалы, другой уровень квалификации работников дорожного хозяйства. С подрядчиками будут заключаться 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контракты жизненного цикла. Это значит, что после ввода объектов в эксплуатацию бремя их содержания полностью ляжет на исполнителей, у которых наконец-то появится заинтересованность в качестве своего труда.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части безопасности дорожного движения усилится ответственность водителей за нарушения ПДД с упором на профилактику нарушений. Нас ждет двукратное увеличение числа камер на дорогах и установка около 10 тыс. новых стационарных комплексов фиксации правонарушений. Проект нацелен на снижение смертности в ДТП и улучшение медицинской помощи пострадавшим. Разработчики нацпроекта не обошли вниманием и профилактику ДТП. Так, детей будут в обязательном порядке обучать поведению на улицах и автодорогах, усилится социальная реклама, призывающая водителей и пешеходов соблюдать ПДД.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Национальный проект охватит города с населением свыше 200 тыс. человек, включая 38 городских агломераций, которые участвуют в его финансировании наряду с федеральным бюджетом.</w:t>
      </w: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36296" w:rsidRDefault="00566215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Евгений Дитрих,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Министр транспорта Российской Федерации</w:t>
      </w:r>
    </w:p>
    <w:p w:rsidR="00C36296" w:rsidRDefault="00C36296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Очень важно, чтобы стратегические планы развития транспортного комплекса были четко увязаны со стратегиями развития субъектов РФ. Эффективность использования ресурсов должна быть максимальной, то есть отдача от работы отрасли должна выражаться в темпах роста экономики и удовлетворенности населения качеством предоставляемых услуг.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P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«Производительность труда и поддержка занятости»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782C5FD" wp14:editId="1EF265AF">
            <wp:extent cx="5856085" cy="5991225"/>
            <wp:effectExtent l="19050" t="0" r="0" b="0"/>
            <wp:docPr id="15" name="Рисунок 15" descr="Производительность труда и поддержка занят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роизводительность труда и поддержка занятости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085" cy="599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Без повышения производительности труда невозможно рассчитывать на ускорение темпов роста экономики. Между тем по этому показателю Россия почти в два раза отстает от ведущих стран мира. При этом россияне работают не меньше, а даже больше – в среднем около 2000 часов против 1750 часов в странах ОЭСР. То есть мы вкладываем много сил и времени, а на выходе получаем средние результаты.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Национальный проект «Производительность труда и поддержка занятости» сориентирован на обеспечение роста производительности, связанного не с ростом инвестиций, а с поиском внутренних резервов предприятий. Программа включает несколько направлений: создание предприятий – образцов по производительности, снятие административных и законодательных барьеров, формирование платформы для обмена опытом, развитие международного сотрудничества, повышение компетенций в области экспорта и продаж.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Специалисты федерального центра компетенций обучат новым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подходам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как чиновников, так и менеджмент, затем соответствующие команды сформируют внутри регионов и на предприятиях. Здесь необходимо учитывать все – от правильной организации рабочего места каждого работника до внедрения комплексных информационных систем, которые позволят отслеживать производственные процессы, ускорять документооборот.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Первоначальный проект был запущен в августе 2017 года. Новая версия программы охватит транспорт, торговлю, строительство, сельское хозяйство, а также государственное управление, здравоохранение, образование. Расширится и круг регионов-участников: к 84 предприятиям в семи пилотных регионах добавятся еще десятки в девяти субъектах РФ.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Предприятия, входящие в нацпроект, должны выполнять нормативы роста производительности: на 10% в первый год, совокупно за два года – 15%, за три года – 30%. Планируется задействовать механизмы дополнительного стимулирования предприятий и регионов, которые будут демонстрировать наивысшие показатели роста производительности труда, в том числе льготные займы, налоговые и другие преференции, причем как на федеральном, так и на региональном уровне.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End"/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0" o:hralign="center" o:hrstd="t" o:hrnoshade="t" o:hr="t" fillcolor="black" stroked="f"/>
        </w:pict>
      </w:r>
    </w:p>
    <w:p w:rsidR="00C36296" w:rsidRDefault="00566215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Антон </w:t>
      </w:r>
      <w:proofErr w:type="spellStart"/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Силуанов</w:t>
      </w:r>
      <w:proofErr w:type="spellEnd"/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первый заместитель Председателя Правительства РФ:</w:t>
      </w:r>
    </w:p>
    <w:p w:rsidR="00C36296" w:rsidRDefault="00C36296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Правительство нацелено на решение экономических и социальных вопросов. Улучшение жизни людей, условий работы бизнеса являются приоритетом. Рост реальной зарплаты и пенсий, создание новых рабочих мест важны в любой ситуации – все это и есть наша идеология.</w:t>
      </w:r>
    </w:p>
    <w:p w:rsidR="00C36296" w:rsidRPr="00C36296" w:rsidRDefault="00C36296" w:rsidP="00C36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«Наука»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FCF4880" wp14:editId="3E1D1A29">
            <wp:extent cx="6191250" cy="6562725"/>
            <wp:effectExtent l="19050" t="0" r="0" b="0"/>
            <wp:docPr id="17" name="Рисунок 17" descr="На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Нау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России необходим рывок, чтобы успеть занять место в стремительно двигающемся поезде высоких технологий. Но как это сделать в условиях сокращения числа ученых и снижения эффективности их труда, в ситуации, когда доля инновационной продукции в общем выпуске составляет всего 8- 9%? Только ростом инвестиций проблему не решить.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Необходимы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прежде всего структурные преобразования. По мнению российского физика, лауреата Нобелевской премии Жореса Алферова, «только когда мы будем иметь исследовательские центры мирового уровня, можно будет говорить о возрождении науки в России».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Именно это направление является ключевым в национальном проекте «Наука», который предполагает создание 15 научно-образовательных центров мирового уровня (НОЦ). Планируется к 2020 году открыть 4 международных математических центра, 3 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центра геномных исследований, 9 – по приоритетным направлениям научно-технологического развития. Одним из главных итогов работы этих структур должен стать рост числа статей в международных базах данных.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Уже сформированные 14 центров компетенции Национальной технологической инициативы призваны обеспечить лидерство российских компаний на новых высокотехнологичных рынках. Это, в частности, искусственный интеллект, квантовые технологии, робототехника, новые источники энергии, технологии беспроводной связи,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нейротехнологии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биотехнологии.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 2024 году НОЦ и центры компетенций должны привлечь к разработке новых технологий не менее 250 российских компаний. Кроме того, участники нацпроекта обязаны подать не менее 1500 заявок на патенты, а также передать для внедрения в экономику не менее 140 новых технологий, защищенных патентами.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Подготовка кадров – еще один приоритет нацпроекта. Важно создать комфортные условия работы в России для молодых ученых, многие из которых сегодня предпочитают трудиться за рубежом. В частности, предполагается открыть не менее 150 новых лабораторий, треть которых возглавят молодые исследователи.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0" o:hralign="center" o:hrstd="t" o:hrnoshade="t" o:hr="t" fillcolor="black" stroked="f"/>
        </w:pic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Григорий Трубников,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первый заместитель Министра науки и высшего образования Российской Федерации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Default="00566215" w:rsidP="00C3629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Этот нацпроект отвечает всем целям и задачам, поставленным Президентом в майском указе: вхождение России в пятерку ведущих научных стран по приоритетным областям науки, создание научно-образовательных центров мирового уровня, крупной исследовательской инфраструктуры на территории России.</w:t>
      </w: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«Цифровая экономика»</w:t>
      </w:r>
      <w:r w:rsidR="00C36296" w:rsidRPr="00C3629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66215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9139AEC" wp14:editId="502B12B8">
            <wp:extent cx="6191250" cy="6438900"/>
            <wp:effectExtent l="19050" t="0" r="0" b="0"/>
            <wp:docPr id="19" name="Рисунок 19" descr="Цифровая эконом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Цифровая экономика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Развитие цифровой среды и повышение компетенции специалистов в области цифровой экономики должны стать одними из ключевых факторов устойчивого развития страны. Национальный проект «Цифровая экономика» нацелен на создание мощной и безопасной инфраструктуры высокоскоростной передачи, обработки и хранения больших объемов данных, которая будет доступна для всех организаций и домохозяйств России.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Одно из главных направлений работы в рамках нацпроекта – современное правовое регулирование. В России должны появиться благоприятные и конкурентные условия для участников цифровой среды, а также единые требования по различным электронным операциям, будь то процесс идентификации, оборот документов или хранение и обработка данных.  Законодательство обязано стимулировать интеллектуальную деятельность в сфере инноваций, в цифровой сфере и обеспечивать приток инвестиций в такие проекты.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Информационная инфраструктура обеспечит доступ к интернету жителей населенных пунктов с численностью от 250 до 500 человек, а также подключение к сети всех органов власти и бюджетных организаций, включая медицинские и образовательные учреждения.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рамках проекта продолжится развитие мобильной и спутниковой связи, в том числе элементов сетей пятого поколения. Через несколько лет эта возможность появится в отдельных крупных городах.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Важное направление нацпроекта –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кибербезопасность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Речь здесь идет не только о производстве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востребованных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российских IT-продуктов и IT-услуг. В широком плане России нужно повысить стандарты защиты интересов личности, интересов бизнеса, государства от информационных угроз. Это касается и платежных систем, и защиты персональных данных, и предотвращения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кибератак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 повестке дня – развитие российских цифровых технологий и укрепление спроса на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российские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IT-продукты. Уже сегодня активно происходит «оцифровка» государственного управления. Часть социально значимых услуг оказывается экстерриториально и без излишней нагрузки на население уже сейчас. Дальнейшее направление работы – внедрение новых сервисов в области образования, здравоохранения, безопасности, услуг для бизнеса.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0" o:hralign="center" o:hrstd="t" o:hrnoshade="t" o:hr="t" fillcolor="black" stroked="f"/>
        </w:pic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Дмитрий Медведев,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Председатель Правительства Российской Федерации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Default="00566215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Программа «Цифровая экономика» – это, конечно, новые возможности для экономического роста в нашей стране. Развитие должно быть обеспечено не только за счет автоматизации процессов. Здесь ключевую роль должны играть новая бизнес-модель, создание информационных продуктов и сервисов, развитие социальных отношений в этой среде и человеческого капитала на основе тех возможностей, которые цифровая экономика и открывает. </w:t>
      </w: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P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«Культура»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7933515" wp14:editId="15685108">
            <wp:extent cx="6191250" cy="6515100"/>
            <wp:effectExtent l="19050" t="0" r="0" b="0"/>
            <wp:docPr id="21" name="Рисунок 21" descr="Культ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ультур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51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Богатейшая культура народов нашей страны должна стать доступна для всех категорий российских граждан, прежде всего для жителей малых городов, деревень и сел, отдаленных от культурных центров.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Национальный проект подразумевает развитие отраслевой инфраструктуры – капитальный ремонт, строительство и реконструкцию сельских домов культуры и кинотеатров в малых городах, организацию передвижных выставок и фестивалей. Действующие библиотеки будут преобразованы в сеть современных центров просвещенного досуга. Отдельное направление – организация центров культурного развития на границах Российской Федерации: во Владивостоке, Калининграде и Севастополе.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 останется без внимания поддержка творческих инициатив населения, прежде всего детского творчества. Народные коллективы впервые получат государственные гранты. Детские музыкальные, художественные, хореографические школы, училища и школы иску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сств пл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анируется обеспечить необходимыми инструментами, современным оборудованием и материалами. Благодаря нацпроекту в России появится национальный молодежный симфонический оркестр.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Цифровые технологии расширят доступ жителей всех регионов к важнейшим мероприятиям культурной жизни страны. Например, заработают 500 виртуальных концертных залов, будет организовано 600 онлайн-трансляций. Национальная электронная библиотека получит 48 тыс. оцифрованных книжных памятников.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Государство рассчитывает, что в ближайшие годы нас ждет появление широкого спектра ярких творческих произведений.</w:t>
      </w: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0" o:hralign="center" o:hrstd="t" o:hrnoshade="t" o:hr="t" fillcolor="black" stroked="f"/>
        </w:pic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Ольга </w:t>
      </w:r>
      <w:proofErr w:type="spellStart"/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Ярилова</w:t>
      </w:r>
      <w:proofErr w:type="spellEnd"/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заместитель Министра культуры Российской Федерации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Default="00566215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Миссия национального проекта – изменить существующую диспропорцию и обеспечить доступ к лучшим образцам отечественной культуры и искусства жителям малых городов, деревень и сел, особенно самых отдаленных от культурных центров.</w:t>
      </w: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Национальный проект «Малое и среднее предпринимательство и поддержка индивидуальной предпринимательской инициативы»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8E6358D" wp14:editId="72A12641">
            <wp:extent cx="6191250" cy="6457950"/>
            <wp:effectExtent l="19050" t="0" r="0" b="0"/>
            <wp:docPr id="23" name="Рисунок 23" descr="Малое и среднее предпринимательство и поддержка индивидуальной предпринимательской инициати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лое и среднее предпринимательство и поддержка индивидуальной предпринимательской инициативы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45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Буквально с самого начала перехода экономики страны на рыночные рельсы государство декларировало всемерную поддержку малого бизнеса. Однако комплексная программа развития российского предпринимательства увидела свет впервые.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Национальный проект «Малое и среднее предпринимательство и поддержка индивидуальной предпринимательской инициативы» включает пять основных направлений: улучшение условий ведения бизнеса, обеспечение доступа к льготному финансированию, поддержка фермеров и сельхозкооперативов, популяризация предпринимательства. Особенно государство намерено заботиться о небольших высокотехнологичных компаниях и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стартапах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социальном предпринимательстве.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За шесть лет малый бизнес должен получить более 10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льготных кредитов. Размер ставки – ключевая ставка Банка России плюс 2%, но в сумме конечный процент для заемщика не должен превышать 8,5%. Уже в 2019 году по этой программе предоставят кредитов на сумму свыше 1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рублей.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Расширение доступа малого бизнеса к финансовым ресурсам означает, что наряду с программой льготного кредитования планируется развивать микрофинансирование, льготный лизинг, будут задействованы биржевые инструменты, а также привлекаться альтернативные источники финансирования, в том числе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краудфандинг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Государство существенно расширит список средних и малых предприятий, поставляющих товары и услуги госкомпаниям. Объем таких закупок у МСП к 2024 году должен составить 5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трлн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рублей. Специализированные информационные ресурсы помогут предпринимателям узнать о доступных мерах господдержки и получить доступ к образовательным платформам. Нацпроект также предусматривает запуск специального налогового режима для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самозанятых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граждан.</w:t>
      </w: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0" o:hralign="center" o:hrstd="t" o:hrnoshade="t" o:hr="t" fillcolor="black" stroked="f"/>
        </w:pic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Максим Орешкин,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Министр экономического развития Российской Федерации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Default="00566215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 xml:space="preserve">Здесь амбициозные показатели – и роста численности </w:t>
      </w:r>
      <w:proofErr w:type="gramStart"/>
      <w:r w:rsidRPr="00C36296">
        <w:rPr>
          <w:rFonts w:ascii="Times New Roman" w:eastAsia="Times New Roman" w:hAnsi="Times New Roman" w:cs="Times New Roman"/>
          <w:sz w:val="24"/>
          <w:szCs w:val="24"/>
        </w:rPr>
        <w:t>занятых</w:t>
      </w:r>
      <w:proofErr w:type="gramEnd"/>
      <w:r w:rsidRPr="00C36296">
        <w:rPr>
          <w:rFonts w:ascii="Times New Roman" w:eastAsia="Times New Roman" w:hAnsi="Times New Roman" w:cs="Times New Roman"/>
          <w:sz w:val="24"/>
          <w:szCs w:val="24"/>
        </w:rPr>
        <w:t xml:space="preserve"> в этом сегменте, и роста доли этого сегмента в валовом внутреннем продукте. Здесь целый комплекс мер, которые будут поддерживать предприятия от самого старта, от появления идеи до регистрации: обращение за сервисами поддержки, получение необходимых знаний для развития предприятий…</w:t>
      </w: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C36296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Default="00566215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Национальный проект «Международная кооперация и экспорт»</w:t>
      </w:r>
    </w:p>
    <w:p w:rsid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6296" w:rsidRPr="00C36296" w:rsidRDefault="00C36296" w:rsidP="0056621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27A4F0B" wp14:editId="19371458">
            <wp:extent cx="6191250" cy="6419850"/>
            <wp:effectExtent l="19050" t="0" r="0" b="0"/>
            <wp:docPr id="25" name="Рисунок 25" descr="Международная кооперация и экс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Международная кооперация и экспорт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296" w:rsidRDefault="00C36296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Внешнеторговый баланс России традиционно находится в положительной зоне, даже в моменты кризисного падения цен на сырьевые товары. В то же время в структуре российского экспорта более 60% составляют энергоносители. Действующие институты не обеспечивают в должной мере ни защиту внутренних рынков, ни конкурентоспособность российских товаров за рубежом. Внешнеторговые операции из источников экономического роста превращаются в фактор его сдерживания.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Национальный проект «Международная кооперация и экспорт» должен расширить присутствие российских товаров и услуг на мировых рынках с помощью инструментов государственного регулирования, отраслевых и корпоративных программ, в том числе экспортного и акционерного финансирования, лизинга и долгосрочных мер поддержки.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Обеспечить конкурентоспособность российских товаров за рубежом предполагается за счет специальных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инвестконтрактов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механизма поддержки «первой поставки». Развитию экспорта продукции АПК будут способствовать субсидирование затрат на перевозки грузов, поддержка брендов и региональных </w:t>
      </w:r>
      <w:proofErr w:type="spellStart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суббрендов</w:t>
      </w:r>
      <w:proofErr w:type="spellEnd"/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формирование сети атташе по АПК и другие меры продвижения российской продукции за рубежом.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сегменте экспорта услуг намечен целый ряд отраслей, где Россия может успешно конкурировать: IT, строительство, финансы, туризм. 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Программа развития логистики международной торговли включает в себя строительство пограничных пунктов пропуска. Много внимания уделено устранению бюрократических барьеров – за счет актуализации правил для прямых смешанных и комбинированных грузов, введения электронного документооборота. Планируется в целом сократить количество процедур, отменить лишние требования при лицензировании экспорта. Уже к 2021 году работа экспортеров со всеми контролирующими органами должна вестись по принципу одного окна.</w:t>
      </w:r>
    </w:p>
    <w:p w:rsidR="00C36296" w:rsidRDefault="00C36296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215" w:rsidRPr="00C36296" w:rsidRDefault="00566215" w:rsidP="00C362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Таким образом, благодаря формированию единой системы продвижения экспорта к 2024 году Россия должна войти в топ</w:t>
      </w: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noBreakHyphen/>
        <w:t>10 стран новых брендов мира.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Pr="00C36296" w:rsidRDefault="00AF7063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0" o:hralign="center" o:hrstd="t" o:hrnoshade="t" o:hr="t" fillcolor="black" stroked="f"/>
        </w:pic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ОТ ПЕРВОГО ЛИЦА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Андрей Слепнев, 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генеральный директор Российского экспортного центра</w:t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Pr="00C36296" w:rsidRDefault="00566215" w:rsidP="00C362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t>Нам удалось сохранить в тексте документа основные принципы, которые были сформированы в рамках Проектной мастерской. А именно доказать, что государству требуется активная экспортная политика. Мы сделали акцент на развитии логистики, снижении административных барьеров, в частности валютного контроля, предложили меры по диверсификации экспорта.</w:t>
      </w:r>
    </w:p>
    <w:p w:rsidR="00566215" w:rsidRPr="00C36296" w:rsidRDefault="00566215" w:rsidP="005662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9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66215" w:rsidRPr="00C36296" w:rsidRDefault="00566215" w:rsidP="00566215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566215" w:rsidRPr="00C36296" w:rsidRDefault="00566215" w:rsidP="00566215">
      <w:pPr>
        <w:rPr>
          <w:rFonts w:ascii="Times New Roman" w:hAnsi="Times New Roman" w:cs="Times New Roman"/>
          <w:sz w:val="24"/>
          <w:szCs w:val="24"/>
        </w:rPr>
      </w:pPr>
    </w:p>
    <w:sectPr w:rsidR="00566215" w:rsidRPr="00C36296" w:rsidSect="009B0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215"/>
    <w:rsid w:val="00281AEA"/>
    <w:rsid w:val="00566215"/>
    <w:rsid w:val="009B011D"/>
    <w:rsid w:val="00AF7063"/>
    <w:rsid w:val="00C36296"/>
    <w:rsid w:val="00C76B97"/>
    <w:rsid w:val="00CA2012"/>
    <w:rsid w:val="00E9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662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62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662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66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66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62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662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662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662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566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66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62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1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oscongress.org/materials/ot-strategii-k-deystviyu-osobennosti-natsionalnykh-proektov-sovremennoy-rossii/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rusinvestforum.org/magazine/magazine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4406</Words>
  <Characters>25119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Хохлова Анна Юрьевна</cp:lastModifiedBy>
  <cp:revision>6</cp:revision>
  <cp:lastPrinted>2019-09-04T05:36:00Z</cp:lastPrinted>
  <dcterms:created xsi:type="dcterms:W3CDTF">2019-09-04T05:33:00Z</dcterms:created>
  <dcterms:modified xsi:type="dcterms:W3CDTF">2019-09-04T05:36:00Z</dcterms:modified>
</cp:coreProperties>
</file>