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595F" w:rsidRDefault="00C02A45" w:rsidP="00EA595F">
      <w:pPr>
        <w:spacing w:after="240" w:line="240" w:lineRule="auto"/>
        <w:rPr>
          <w:rFonts w:ascii="PTSans" w:eastAsia="Times New Roman" w:hAnsi="PTSans" w:cs="Times New Roman"/>
          <w:sz w:val="24"/>
          <w:szCs w:val="24"/>
          <w:lang w:eastAsia="ru-RU"/>
        </w:rPr>
      </w:pPr>
      <w:r w:rsidRPr="00C02A45">
        <w:rPr>
          <w:rFonts w:ascii="PTSans" w:eastAsia="Times New Roman" w:hAnsi="PTSans" w:cs="Times New Roman"/>
          <w:noProof/>
          <w:sz w:val="24"/>
          <w:szCs w:val="24"/>
          <w:lang w:eastAsia="ru-RU"/>
        </w:rPr>
        <w:drawing>
          <wp:inline distT="0" distB="0" distL="0" distR="0" wp14:anchorId="20C8F146" wp14:editId="57DCC94B">
            <wp:extent cx="1762125" cy="361950"/>
            <wp:effectExtent l="0" t="0" r="9525" b="0"/>
            <wp:docPr id="2" name="Рисунок 2" descr="БЮДЖЕТ.R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ЮДЖЕТ.RU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02A45">
        <w:rPr>
          <w:rFonts w:ascii="PTSans" w:eastAsia="Times New Roman" w:hAnsi="PTSans" w:cs="Times New Roman"/>
          <w:sz w:val="24"/>
          <w:szCs w:val="24"/>
          <w:lang w:eastAsia="ru-RU"/>
        </w:rPr>
        <w:br/>
      </w:r>
    </w:p>
    <w:p w:rsidR="00C02A45" w:rsidRPr="00C02A45" w:rsidRDefault="00C02A45" w:rsidP="00EA595F">
      <w:pPr>
        <w:spacing w:after="240" w:line="240" w:lineRule="auto"/>
        <w:rPr>
          <w:rFonts w:ascii="PTSans" w:eastAsia="Times New Roman" w:hAnsi="PTSans" w:cs="Times New Roman"/>
          <w:sz w:val="24"/>
          <w:szCs w:val="24"/>
          <w:lang w:eastAsia="ru-RU"/>
        </w:rPr>
      </w:pPr>
      <w:r w:rsidRPr="00C02A45">
        <w:rPr>
          <w:rFonts w:ascii="PTSans" w:eastAsia="Times New Roman" w:hAnsi="PTSans" w:cs="Times New Roman"/>
          <w:sz w:val="24"/>
          <w:szCs w:val="24"/>
          <w:lang w:eastAsia="ru-RU"/>
        </w:rPr>
        <w:t xml:space="preserve">© </w:t>
      </w:r>
      <w:hyperlink r:id="rId6" w:history="1">
        <w:r w:rsidRPr="00C02A45">
          <w:rPr>
            <w:rFonts w:ascii="Times New Roman" w:eastAsia="Times New Roman" w:hAnsi="Times New Roman" w:cs="Times New Roman"/>
            <w:color w:val="005B8B"/>
            <w:sz w:val="24"/>
            <w:szCs w:val="24"/>
            <w:u w:val="single"/>
            <w:lang w:eastAsia="ru-RU"/>
          </w:rPr>
          <w:t>ИД «Бюджет»</w:t>
        </w:r>
      </w:hyperlink>
      <w:r w:rsidRPr="00C02A45">
        <w:rPr>
          <w:rFonts w:ascii="PTSans" w:eastAsia="Times New Roman" w:hAnsi="PTSans" w:cs="Times New Roman"/>
          <w:sz w:val="24"/>
          <w:szCs w:val="24"/>
          <w:lang w:eastAsia="ru-RU"/>
        </w:rPr>
        <w:t xml:space="preserve"> – </w:t>
      </w:r>
      <w:r w:rsidRPr="00C02A45">
        <w:rPr>
          <w:rFonts w:ascii="Times New Roman" w:eastAsia="Times New Roman" w:hAnsi="Times New Roman" w:cs="Times New Roman"/>
          <w:color w:val="005B8B"/>
          <w:sz w:val="24"/>
          <w:szCs w:val="24"/>
          <w:u w:val="single"/>
          <w:lang w:eastAsia="ru-RU"/>
        </w:rPr>
        <w:t>№ 4 апрель 2019</w:t>
      </w:r>
      <w:r w:rsidRPr="00C02A45">
        <w:rPr>
          <w:rFonts w:ascii="PTSans" w:eastAsia="Times New Roman" w:hAnsi="PTSans" w:cs="Times New Roman"/>
          <w:sz w:val="24"/>
          <w:szCs w:val="24"/>
          <w:lang w:eastAsia="ru-RU"/>
        </w:rPr>
        <w:t xml:space="preserve"> </w:t>
      </w:r>
      <w:r w:rsidRPr="00C02A45">
        <w:rPr>
          <w:rFonts w:ascii="Times New Roman" w:eastAsia="Times New Roman" w:hAnsi="Times New Roman" w:cs="Times New Roman"/>
          <w:color w:val="005B8B"/>
          <w:sz w:val="24"/>
          <w:szCs w:val="24"/>
          <w:u w:val="single"/>
          <w:lang w:eastAsia="ru-RU"/>
        </w:rPr>
        <w:t>– 24.04.2019</w:t>
      </w:r>
    </w:p>
    <w:p w:rsidR="00C02A45" w:rsidRPr="00EA595F" w:rsidRDefault="00C02A45" w:rsidP="00EA595F">
      <w:pPr>
        <w:spacing w:before="300" w:after="30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54"/>
          <w:lang w:eastAsia="ru-RU"/>
        </w:rPr>
      </w:pPr>
      <w:r w:rsidRPr="00EA595F">
        <w:rPr>
          <w:rFonts w:ascii="Times New Roman" w:eastAsia="Times New Roman" w:hAnsi="Times New Roman" w:cs="Times New Roman"/>
          <w:b/>
          <w:bCs/>
          <w:kern w:val="36"/>
          <w:sz w:val="40"/>
          <w:szCs w:val="54"/>
          <w:lang w:eastAsia="ru-RU"/>
        </w:rPr>
        <w:t xml:space="preserve">На Васильевских чтениях обсудили вызовы для бюджетной системы </w:t>
      </w:r>
    </w:p>
    <w:p w:rsidR="00C02A45" w:rsidRPr="00C02A45" w:rsidRDefault="00C02A45" w:rsidP="00C02A45">
      <w:pPr>
        <w:spacing w:after="0" w:line="240" w:lineRule="auto"/>
        <w:rPr>
          <w:rFonts w:ascii="PTSans" w:eastAsia="Times New Roman" w:hAnsi="PTSans" w:cs="Times New Roman"/>
          <w:sz w:val="24"/>
          <w:szCs w:val="24"/>
          <w:lang w:eastAsia="ru-RU"/>
        </w:rPr>
      </w:pPr>
    </w:p>
    <w:p w:rsidR="00C02A45" w:rsidRPr="00EA595F" w:rsidRDefault="00C02A45" w:rsidP="00EA595F">
      <w:pPr>
        <w:spacing w:before="120" w:after="240" w:line="312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2A45">
        <w:rPr>
          <w:rFonts w:ascii="PTSans" w:eastAsia="Times New Roman" w:hAnsi="PTSans" w:cs="Times New Roman"/>
          <w:i/>
          <w:iCs/>
          <w:sz w:val="24"/>
          <w:szCs w:val="24"/>
          <w:lang w:eastAsia="ru-RU"/>
        </w:rPr>
        <w:t>В </w:t>
      </w:r>
      <w:r w:rsidRPr="00EA595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середине марта в Москве на площадке Финансового университета при Правительстве РФ состоялись VII Васильевские чтения — ежегодный форум «Общественные финансы: наука и практика». В этом году мероприятие было посвящено теоретическому и практическому осмыслению новых вызовов, стоящих перед бюджетной системой России.</w:t>
      </w:r>
      <w:r w:rsidRPr="00EA59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02A45" w:rsidRPr="00EA595F" w:rsidRDefault="00C02A45" w:rsidP="00EA595F">
      <w:pPr>
        <w:spacing w:before="120" w:after="240" w:line="312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59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Васильевские чтения уже седьмой год объединяют руководителей региональных и муниципальных финансовых органов, представителей Министерства финансов РФ, Федерального казначейства и федеральной законодательной власти, финансовых контролеров, ученых. Форум организован журналом «Бюджет» при поддержке целого ряда экспертных структур и профессиональных ассоциаций — Союза финансистов России, Союза развития государственных финансов, Аналитического центра при Правительстве РФ, НИФИ Минфина России, Финансового университета. </w:t>
      </w:r>
    </w:p>
    <w:p w:rsidR="00C02A45" w:rsidRPr="00EA595F" w:rsidRDefault="00C02A45" w:rsidP="00EA595F">
      <w:pPr>
        <w:spacing w:before="120" w:after="240" w:line="312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595F">
        <w:rPr>
          <w:rFonts w:ascii="Times New Roman" w:eastAsia="Times New Roman" w:hAnsi="Times New Roman" w:cs="Times New Roman"/>
          <w:sz w:val="28"/>
          <w:szCs w:val="28"/>
          <w:lang w:eastAsia="ru-RU"/>
        </w:rPr>
        <w:t>Генеральным партнером форума выступила Компания «БФТ», стратегическим партнером — НПО «</w:t>
      </w:r>
      <w:proofErr w:type="spellStart"/>
      <w:r w:rsidRPr="00EA595F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Криста</w:t>
      </w:r>
      <w:proofErr w:type="spellEnd"/>
      <w:r w:rsidRPr="00EA595F">
        <w:rPr>
          <w:rFonts w:ascii="Times New Roman" w:eastAsia="Times New Roman" w:hAnsi="Times New Roman" w:cs="Times New Roman"/>
          <w:sz w:val="28"/>
          <w:szCs w:val="28"/>
          <w:lang w:eastAsia="ru-RU"/>
        </w:rPr>
        <w:t>», официальными партнерами — «</w:t>
      </w:r>
      <w:proofErr w:type="spellStart"/>
      <w:r w:rsidRPr="00EA595F">
        <w:rPr>
          <w:rFonts w:ascii="Times New Roman" w:eastAsia="Times New Roman" w:hAnsi="Times New Roman" w:cs="Times New Roman"/>
          <w:sz w:val="28"/>
          <w:szCs w:val="28"/>
          <w:lang w:eastAsia="ru-RU"/>
        </w:rPr>
        <w:t>Кейсистемс</w:t>
      </w:r>
      <w:proofErr w:type="spellEnd"/>
      <w:r w:rsidRPr="00EA59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и СМП Банк. </w:t>
      </w:r>
    </w:p>
    <w:p w:rsidR="00C02A45" w:rsidRPr="00EA595F" w:rsidRDefault="00C02A45" w:rsidP="00EA595F">
      <w:pPr>
        <w:spacing w:before="100" w:beforeAutospacing="1" w:after="144" w:line="312" w:lineRule="atLeast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EA595F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Сбалансировать доходы и полномочия</w:t>
      </w:r>
    </w:p>
    <w:p w:rsidR="00C02A45" w:rsidRPr="00EA595F" w:rsidRDefault="00C02A45" w:rsidP="00EA595F">
      <w:pPr>
        <w:spacing w:before="120" w:after="240" w:line="312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59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отметил модератор пленарной сессии форума, заместитель министра финансов России А. М. Лавров, Васильевские чтения традиционно открывают ежегодный цикл общественных и экспертных обсуждений всей проблематики государственных финансов и бюджета. «На мой взгляд, главный вызов, стоящий перед бюджетной системой, — это настройка инструментов бюджетной политики для реализации национальных целей развития и нацпроектов. Для всей страны это новые, стратегически значимые задачи с новыми индикаторами и новыми механизмами их достижения. Бюджетное законодательство и бюджетная практика должны получить определенное развитие, чтобы добиться поставленных задач», — считает Лавров. </w:t>
      </w:r>
    </w:p>
    <w:p w:rsidR="00C02A45" w:rsidRPr="00EA595F" w:rsidRDefault="00C02A45" w:rsidP="00EA595F">
      <w:pPr>
        <w:spacing w:before="120" w:after="240" w:line="312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595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 дальнейшем спикеры Васильевских чтений неоднократно обращались к теме реализации национальных проектов. Так, председатель Комитета Совета Федерации по бюджету и финансовым рынкам </w:t>
      </w:r>
      <w:r w:rsidRPr="00EA595F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С. Н. Рябухин заявил, что необходимость достижения</w:t>
      </w:r>
      <w:r w:rsidRPr="00EA595F">
        <w:rPr>
          <w:rFonts w:ascii="PTSans" w:eastAsia="Times New Roman" w:hAnsi="PTSans" w:cs="Times New Roman"/>
          <w:sz w:val="26"/>
          <w:szCs w:val="24"/>
          <w:lang w:eastAsia="ru-RU"/>
        </w:rPr>
        <w:t xml:space="preserve"> </w:t>
      </w:r>
      <w:r w:rsidRPr="00EA59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национальных целей развития и дополнительные полномочия, связанные с этими задачами, могут привести к росту </w:t>
      </w:r>
      <w:proofErr w:type="spellStart"/>
      <w:r w:rsidRPr="00EA595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закредитованности</w:t>
      </w:r>
      <w:proofErr w:type="spellEnd"/>
      <w:r w:rsidRPr="00EA59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субъектов РФ. «В свое время правительство поддержало инициативу Федерального собрания и согласилось на трехлетний цикл замещения коммерческих кредитов бюджетными. Была выделена приличная сумма — более триллиона рублей. Это позволило остановить галопирующий рост долга консолидированных бюджетов регионов. На пике он составлял 2,4 триллиона рублей, сейчас — порядка 2,1 триллиона. Однако теперь может начаться новый виток роста. Не уверен, что администраторы нацпроектов в полной мере просчитывают эти риски. До конца не ясно, какие дополнительные расходы потребуются от субъектов РФ. Все нацпроекты в конечном счете будут реализовываться на местах, и если мы хотим, чтобы их цели были достигнуты, нужно сбалансировать новые полномочия и доходы регионов», — подчеркнул сенатор. </w:t>
      </w:r>
    </w:p>
    <w:p w:rsidR="00C02A45" w:rsidRPr="00EA595F" w:rsidRDefault="00C02A45" w:rsidP="00EA595F">
      <w:pPr>
        <w:spacing w:before="100" w:beforeAutospacing="1" w:after="144" w:line="312" w:lineRule="atLeast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EA595F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Выравнивание и стимулирование</w:t>
      </w:r>
    </w:p>
    <w:p w:rsidR="00C02A45" w:rsidRPr="00EA595F" w:rsidRDefault="00C02A45" w:rsidP="00EA595F">
      <w:pPr>
        <w:spacing w:before="120" w:after="240" w:line="312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59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Заместитель председателя Комитета Госдумы по бюджету и налогам Н. С. Максимова напомнила, что еще в 2016 году в Послании Федеральному собранию президент поставил задачу перенастройки налоговой системы. В 2017–2018 годах правительство и парламент активно занимались данным вопросом. Среди реализованных новаций — повышение НДС, реформа налогообложения нефтяной отрасли (постепенный уход от экспортных пошлин и переход к налогу на дополнительный доход от добычи углеводородного сырья), эксперимент с введением налога на профессиональный доход, а также появление понятия «налоговые расходы», которое будет использоваться при формировании бюджетов бюджетной системы на 2020 год. </w:t>
      </w:r>
    </w:p>
    <w:p w:rsidR="00C02A45" w:rsidRPr="00EA595F" w:rsidRDefault="00C02A45" w:rsidP="00EA595F">
      <w:pPr>
        <w:spacing w:before="120" w:after="240" w:line="312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59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Мерой, напрямую затронувшей интересы регионов, стала отмена налога на движимое имущество. «Это привело к выпадению доходов региональных бюджетов в 2019 году. Поэтому 97 миллиардов рублей было распределено в 2018 году, чтобы их можно было использовать начиная уже с января текущего года. Поскольку этой суммы явно недостаточно, было принято решение изменить нормативы перечисления акцизов на крепкий алкоголь и нефтепродукты в региональные бюджеты. К 2024 году 100 процентов этих акцизов будут получать субъекты, что уже закреплено в Бюджетном кодексе», — пояснила Максимова. </w:t>
      </w:r>
    </w:p>
    <w:p w:rsidR="00C02A45" w:rsidRPr="00EA595F" w:rsidRDefault="00C02A45" w:rsidP="00EA595F">
      <w:pPr>
        <w:spacing w:before="120" w:after="240" w:line="312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59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Также депутат рассказала о работе над новой редакцией БК РФ, которая все еще продолжается. Сейчас Комитет по бюджету и налогам Госдумы и правительство обсуждают главы, посвященные межбюджетным отношениям, государственным (муниципальным) заданиям, а также государственному (муниципальному) долгу. «Надеемся завершить эту работу </w:t>
      </w:r>
      <w:r w:rsidRPr="00EA595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 весеннюю сессию, а уже осенью внести в Думу полноценный проект нового Бюджетного кодекса», — отметила Максимова. </w:t>
      </w:r>
    </w:p>
    <w:p w:rsidR="00C02A45" w:rsidRPr="00EA595F" w:rsidRDefault="00C02A45" w:rsidP="00EA595F">
      <w:pPr>
        <w:spacing w:before="120" w:after="240" w:line="312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59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Проблемы, связанной с выпадающими доходами субъектов РФ вследствие отмены налогообложения движимого имущества, коснулась и заместитель председателя Комитета Совета Федерации по бюджету и финансовым рынкам Е. А. Перминова. «Вопрос о компенсации этих доходов по-прежнему открыт, ведь соответствующая дотация на сбалансированность бюджетов носит разовый характер и была предусмотрена только на один год», — заявила сенатор. В целом, по ее словам, межбюджетные отношения нуждаются в совершенствовании. Механизмы выравнивания </w:t>
      </w:r>
      <w:proofErr w:type="spellStart"/>
      <w:r w:rsidRPr="00EA595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недонастроены</w:t>
      </w:r>
      <w:proofErr w:type="spellEnd"/>
      <w:r w:rsidRPr="00EA59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 такой инструмент, как модельный бюджет, пока не в полной мере учитывает разнообразие регионов — их климатические, экономические, демографические особенности. «Осуществляя выравнивание, важно не забывать о стимулировании успешных, сильных регионов. Еще с 2017 года для них предусмотрены гранты на уровне 20 миллиардов рублей в год. В 2018 году они также имели возможность получить 30,6 миллиарда в виде дотации за наращивание налогового потенциала по налогу на прибыль, но этих мер недостаточно», — считает Перминова. </w:t>
      </w:r>
    </w:p>
    <w:p w:rsidR="00C02A45" w:rsidRPr="00EA595F" w:rsidRDefault="00C02A45" w:rsidP="00EA595F">
      <w:pPr>
        <w:spacing w:before="100" w:beforeAutospacing="1" w:after="144" w:line="312" w:lineRule="atLeast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EA595F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Поддержать бизнес</w:t>
      </w:r>
    </w:p>
    <w:p w:rsidR="00C02A45" w:rsidRPr="00EA595F" w:rsidRDefault="00C02A45" w:rsidP="00EA595F">
      <w:pPr>
        <w:spacing w:before="120" w:after="240" w:line="312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595F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мнению ректора Финансового университета при Правительстве РФ М. А. </w:t>
      </w:r>
      <w:proofErr w:type="spellStart"/>
      <w:r w:rsidRPr="00EA595F">
        <w:rPr>
          <w:rFonts w:ascii="Times New Roman" w:eastAsia="Times New Roman" w:hAnsi="Times New Roman" w:cs="Times New Roman"/>
          <w:sz w:val="28"/>
          <w:szCs w:val="28"/>
          <w:lang w:eastAsia="ru-RU"/>
        </w:rPr>
        <w:t>Эскиндарова</w:t>
      </w:r>
      <w:proofErr w:type="spellEnd"/>
      <w:r w:rsidRPr="00EA59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ключевой вопрос для всей финансовой системы в контексте реализации нацпроектов — государственная поддержка бизнеса и взаимодействие с ним. Ректор сослался на результаты опросов, согласно которым большинство предпринимателей ощущают, что государство видит в них не партнеров, а лишь «кошелек». </w:t>
      </w:r>
      <w:proofErr w:type="spellStart"/>
      <w:r w:rsidRPr="00EA595F">
        <w:rPr>
          <w:rFonts w:ascii="Times New Roman" w:eastAsia="Times New Roman" w:hAnsi="Times New Roman" w:cs="Times New Roman"/>
          <w:sz w:val="28"/>
          <w:szCs w:val="28"/>
          <w:lang w:eastAsia="ru-RU"/>
        </w:rPr>
        <w:t>Эскиндаров</w:t>
      </w:r>
      <w:proofErr w:type="spellEnd"/>
      <w:r w:rsidRPr="00EA59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призвал финансистов активно думать о том, какие преференции и возможности для развития предоставить бизнесу (причем не только малому и среднему, но и крупному) и как вместе с ним работать на развитие экономики. «Не очень понятно, почему мы так упорно держимся за профицит бюджета и накапливаем огромные резервы. Может, лучше было бы направить деньги на поддержку экономики в расчете на новые налоговые поступления в будущем? Золотовалютные резервы у нас растут, при этом сохраняется масса проблем с развитием инфраструктуры, а также вложениями в человеческий капитал», — отметил он.   </w:t>
      </w:r>
    </w:p>
    <w:p w:rsidR="00C02A45" w:rsidRPr="00EA595F" w:rsidRDefault="00C02A45" w:rsidP="00EA595F">
      <w:pPr>
        <w:spacing w:before="120" w:after="240" w:line="312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59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Комментируя этот тезис, Лавров напомнил, что накопленные резервы дважды за последние десять лет помогли бюджетной системе пройти кризис. «Мы проводим взвешенную, консервативную финансовую политику: накапливаем резервы в период хорошей внешнеэкономической конъюнктуры и тратим, когда цены на нефть падают. Более того, в 2018 году бюджетное правило было смягчено, создан Фонд развития, куда </w:t>
      </w:r>
      <w:r w:rsidRPr="00EA595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направлено 500 миллиардов рублей. Эти деньги будут работать как раз на национальные проекты», — подчеркнул замминистра. </w:t>
      </w:r>
    </w:p>
    <w:p w:rsidR="00C02A45" w:rsidRPr="00EA595F" w:rsidRDefault="00C02A45" w:rsidP="00EA595F">
      <w:pPr>
        <w:spacing w:before="100" w:beforeAutospacing="1" w:after="144" w:line="312" w:lineRule="atLeast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EA595F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Управленческие задачи</w:t>
      </w:r>
    </w:p>
    <w:p w:rsidR="00C02A45" w:rsidRPr="00EA595F" w:rsidRDefault="00C02A45" w:rsidP="00EA595F">
      <w:pPr>
        <w:spacing w:before="120" w:after="240" w:line="312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595F">
        <w:rPr>
          <w:rFonts w:ascii="Times New Roman" w:eastAsia="Times New Roman" w:hAnsi="Times New Roman" w:cs="Times New Roman"/>
          <w:sz w:val="28"/>
          <w:szCs w:val="28"/>
          <w:lang w:eastAsia="ru-RU"/>
        </w:rPr>
        <w:t>Качество государственного регулирования и </w:t>
      </w:r>
      <w:proofErr w:type="spellStart"/>
      <w:r w:rsidRPr="00EA595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госуправления</w:t>
      </w:r>
      <w:proofErr w:type="spellEnd"/>
      <w:r w:rsidRPr="00EA59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 целом — это один из главных </w:t>
      </w:r>
      <w:proofErr w:type="gramStart"/>
      <w:r w:rsidRPr="00EA595F">
        <w:rPr>
          <w:rFonts w:ascii="Times New Roman" w:eastAsia="Times New Roman" w:hAnsi="Times New Roman" w:cs="Times New Roman"/>
          <w:sz w:val="28"/>
          <w:szCs w:val="28"/>
          <w:lang w:eastAsia="ru-RU"/>
        </w:rPr>
        <w:t>вызовов</w:t>
      </w:r>
      <w:proofErr w:type="gramEnd"/>
      <w:r w:rsidRPr="00EA59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для ускорения экономического роста, так и для повышения уровня жизни людей, убежден заместитель руководителя Федерального казначейства С. Е. Прокофьев. Он констатировал, что многие задачи, поставленные почти 20 лет назад, на самом старте реформы </w:t>
      </w:r>
      <w:proofErr w:type="spellStart"/>
      <w:r w:rsidRPr="00EA595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госуправления</w:t>
      </w:r>
      <w:proofErr w:type="spellEnd"/>
      <w:r w:rsidRPr="00EA59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пока не решены. </w:t>
      </w:r>
    </w:p>
    <w:p w:rsidR="00C02A45" w:rsidRPr="00EA595F" w:rsidRDefault="00C02A45" w:rsidP="00EA595F">
      <w:pPr>
        <w:spacing w:before="120" w:after="240" w:line="312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59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этом главным достижением первого этапа реформы Прокофьев назвал </w:t>
      </w:r>
      <w:proofErr w:type="spellStart"/>
      <w:r w:rsidRPr="00EA595F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цифровизацию</w:t>
      </w:r>
      <w:proofErr w:type="spellEnd"/>
      <w:r w:rsidRPr="00EA59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 частности внедрение ключевых государственных информационных систем и переход к предоставлению </w:t>
      </w:r>
      <w:proofErr w:type="spellStart"/>
      <w:r w:rsidRPr="00EA595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госуслуг</w:t>
      </w:r>
      <w:proofErr w:type="spellEnd"/>
      <w:r w:rsidRPr="00EA59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 электронном виде. Среди основных задач нового этапа — реформа контрольно-надзорного блока, включая риск-ориентированный подход к выбору объектов контроля, информатизацию контроля и так называемую регуляторную гильотину — обнуление регуляторных требований, необходимость которых не будет заново обоснована органами власти. </w:t>
      </w:r>
    </w:p>
    <w:p w:rsidR="00C02A45" w:rsidRPr="00EA595F" w:rsidRDefault="00C02A45" w:rsidP="00EA595F">
      <w:pPr>
        <w:spacing w:before="120" w:after="240" w:line="312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595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Самостоятельной проблемой Прокофьев назвал подготовку кад</w:t>
      </w:r>
      <w:r w:rsidRPr="00EA595F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ров (в том числе управленческих) для цифровой экономики. «На сегодняшний день это ахиллесова пята вузов. Они либо готовят профессионалов в сфере ИТ, но без знаний экономического и финансового функционала, либо наоборот — грамотных финансистов и экономистов, но без понимания информационных технологий. Если мы хотим, чтобы система </w:t>
      </w:r>
      <w:proofErr w:type="spellStart"/>
      <w:r w:rsidRPr="00EA595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госуправления</w:t>
      </w:r>
      <w:proofErr w:type="spellEnd"/>
      <w:r w:rsidRPr="00EA59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развивалась и была конкурентоспособной, нужно усилить комплексную подготовку студентов в этих составляющих», — пояснил представитель казначейства. </w:t>
      </w:r>
    </w:p>
    <w:p w:rsidR="00C02A45" w:rsidRPr="00EA595F" w:rsidRDefault="00C02A45" w:rsidP="00EA595F">
      <w:pPr>
        <w:spacing w:before="100" w:beforeAutospacing="1" w:after="144" w:line="312" w:lineRule="atLeast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EA595F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Борьба с бедностью: требуется унификация</w:t>
      </w:r>
    </w:p>
    <w:p w:rsidR="00C02A45" w:rsidRPr="00EA595F" w:rsidRDefault="00C02A45" w:rsidP="00EA595F">
      <w:pPr>
        <w:spacing w:before="120" w:after="240" w:line="312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59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мнению директора НИФИ Минфина России В. С. Назарова, главная задача и главный вызов для финансовой системы — борьба с бедностью. Майский указ поставил амбициозную задачу: двукратное ее сокращение. В 2000–2007 годах уже были достигнуты колоссальные результаты в борьбе с бедностью, за эти годы долю малоимущих среди населения удалось сократить с 30 до 13%. Но тогда это стало результатом бурного экономического роста. За следующие десять лет, несмотря на двукратный рост расходов на социальную поддержку, сопоставимого прогресса в борьбе с бедностью не наблюдалось. Сегодня ее уровень вновь составляет порядка 13%. </w:t>
      </w:r>
    </w:p>
    <w:p w:rsidR="00C02A45" w:rsidRPr="00EA595F" w:rsidRDefault="00C02A45" w:rsidP="00EA595F">
      <w:pPr>
        <w:spacing w:before="120" w:after="240" w:line="312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59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«К сожалению, в России наиболее крупная категория бедных — это семьи с детьми: до 25 процентов всех детей живет в бедных семьях. Расширение круга получателей выплат при рождении первого и второго </w:t>
      </w:r>
      <w:r w:rsidRPr="00EA595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ребенка, заявленное в последнем послании президента, очень значимо для этой категории населения», — отметил Назаров, подчеркнув, однако, что данная мера лишь в малой степени снизит общий уровень бедности. «Минтруд поставил перед всеми регионами одинаковую цель: снизить бедность в два раза. Но для богатых регионов, таких как Москва, это лишь вопрос выделения посильных сумм из бюджета, а для других — почти невыполнимая задача. Вклад Федерации в решение проблемы должен заключаться в перестройке самого подхода к борьбе с бедностью», — добавил эксперт. По его мнению, необходимо создать единое универсальное пособие для поддержки всех наиболее нуждающихся категорий вне зависимости от их возраста. Также нужно предъявить единые требования ко всем заявителям: сейчас на федеральном уровне используется более 800 мер поддержки, сотни мер — в регионах, с самыми разнообразными критериями входа в эту систему. </w:t>
      </w:r>
    </w:p>
    <w:p w:rsidR="00C02A45" w:rsidRPr="00C02A45" w:rsidRDefault="00C02A45" w:rsidP="00C02A45">
      <w:pPr>
        <w:spacing w:before="120" w:after="240" w:line="312" w:lineRule="atLeast"/>
        <w:jc w:val="right"/>
        <w:rPr>
          <w:rFonts w:ascii="PTSans" w:eastAsia="Times New Roman" w:hAnsi="PTSans" w:cs="Times New Roman"/>
          <w:sz w:val="24"/>
          <w:szCs w:val="24"/>
          <w:lang w:eastAsia="ru-RU"/>
        </w:rPr>
      </w:pPr>
      <w:r w:rsidRPr="00C02A45">
        <w:rPr>
          <w:rFonts w:ascii="PTSans" w:eastAsia="Times New Roman" w:hAnsi="PTSans" w:cs="Times New Roman"/>
          <w:b/>
          <w:bCs/>
          <w:sz w:val="24"/>
          <w:szCs w:val="24"/>
          <w:lang w:eastAsia="ru-RU"/>
        </w:rPr>
        <w:t>М. А. ЦУЦИЕВ</w:t>
      </w:r>
      <w:r w:rsidRPr="00C02A45">
        <w:rPr>
          <w:rFonts w:ascii="PTSans" w:eastAsia="Times New Roman" w:hAnsi="PTSans" w:cs="Times New Roman"/>
          <w:sz w:val="24"/>
          <w:szCs w:val="24"/>
          <w:lang w:eastAsia="ru-RU"/>
        </w:rPr>
        <w:t xml:space="preserve"> </w:t>
      </w:r>
    </w:p>
    <w:p w:rsidR="00C02A45" w:rsidRPr="00C02A45" w:rsidRDefault="00C02A45" w:rsidP="00C02A45">
      <w:pPr>
        <w:spacing w:before="120" w:after="240" w:line="312" w:lineRule="atLeast"/>
        <w:rPr>
          <w:rFonts w:ascii="PTSans" w:eastAsia="Times New Roman" w:hAnsi="PTSans" w:cs="Times New Roman"/>
          <w:sz w:val="24"/>
          <w:szCs w:val="24"/>
          <w:lang w:eastAsia="ru-RU"/>
        </w:rPr>
      </w:pPr>
      <w:r w:rsidRPr="00C02A45">
        <w:rPr>
          <w:rFonts w:ascii="PTSans" w:eastAsia="Times New Roman" w:hAnsi="PTSans" w:cs="Times New Roman"/>
          <w:sz w:val="24"/>
          <w:szCs w:val="24"/>
          <w:lang w:eastAsia="ru-RU"/>
        </w:rPr>
        <w:t xml:space="preserve">  </w:t>
      </w:r>
      <w:bookmarkStart w:id="0" w:name="_GoBack"/>
      <w:bookmarkEnd w:id="0"/>
    </w:p>
    <w:sectPr w:rsidR="00C02A45" w:rsidRPr="00C02A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Sans">
    <w:altName w:val="Times New Roman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1FE9"/>
    <w:rsid w:val="004E1FE9"/>
    <w:rsid w:val="00B50504"/>
    <w:rsid w:val="00C02A45"/>
    <w:rsid w:val="00EA5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02A45"/>
    <w:pPr>
      <w:spacing w:before="300" w:after="300" w:line="240" w:lineRule="auto"/>
      <w:outlineLvl w:val="0"/>
    </w:pPr>
    <w:rPr>
      <w:rFonts w:ascii="PTSans" w:eastAsia="Times New Roman" w:hAnsi="PTSans" w:cs="Times New Roman"/>
      <w:b/>
      <w:bCs/>
      <w:kern w:val="36"/>
      <w:sz w:val="54"/>
      <w:szCs w:val="5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02A45"/>
    <w:rPr>
      <w:rFonts w:ascii="PTSans" w:eastAsia="Times New Roman" w:hAnsi="PTSans" w:cs="Times New Roman"/>
      <w:b/>
      <w:bCs/>
      <w:kern w:val="36"/>
      <w:sz w:val="54"/>
      <w:szCs w:val="54"/>
      <w:lang w:eastAsia="ru-RU"/>
    </w:rPr>
  </w:style>
  <w:style w:type="character" w:styleId="a3">
    <w:name w:val="Hyperlink"/>
    <w:basedOn w:val="a0"/>
    <w:uiPriority w:val="99"/>
    <w:semiHidden/>
    <w:unhideWhenUsed/>
    <w:rsid w:val="00C02A45"/>
    <w:rPr>
      <w:color w:val="005B8B"/>
      <w:u w:val="single"/>
    </w:rPr>
  </w:style>
  <w:style w:type="paragraph" w:styleId="a4">
    <w:name w:val="Normal (Web)"/>
    <w:basedOn w:val="a"/>
    <w:uiPriority w:val="99"/>
    <w:semiHidden/>
    <w:unhideWhenUsed/>
    <w:rsid w:val="00C02A45"/>
    <w:pPr>
      <w:spacing w:before="120" w:after="16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A59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A595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02A45"/>
    <w:pPr>
      <w:spacing w:before="300" w:after="300" w:line="240" w:lineRule="auto"/>
      <w:outlineLvl w:val="0"/>
    </w:pPr>
    <w:rPr>
      <w:rFonts w:ascii="PTSans" w:eastAsia="Times New Roman" w:hAnsi="PTSans" w:cs="Times New Roman"/>
      <w:b/>
      <w:bCs/>
      <w:kern w:val="36"/>
      <w:sz w:val="54"/>
      <w:szCs w:val="5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02A45"/>
    <w:rPr>
      <w:rFonts w:ascii="PTSans" w:eastAsia="Times New Roman" w:hAnsi="PTSans" w:cs="Times New Roman"/>
      <w:b/>
      <w:bCs/>
      <w:kern w:val="36"/>
      <w:sz w:val="54"/>
      <w:szCs w:val="54"/>
      <w:lang w:eastAsia="ru-RU"/>
    </w:rPr>
  </w:style>
  <w:style w:type="character" w:styleId="a3">
    <w:name w:val="Hyperlink"/>
    <w:basedOn w:val="a0"/>
    <w:uiPriority w:val="99"/>
    <w:semiHidden/>
    <w:unhideWhenUsed/>
    <w:rsid w:val="00C02A45"/>
    <w:rPr>
      <w:color w:val="005B8B"/>
      <w:u w:val="single"/>
    </w:rPr>
  </w:style>
  <w:style w:type="paragraph" w:styleId="a4">
    <w:name w:val="Normal (Web)"/>
    <w:basedOn w:val="a"/>
    <w:uiPriority w:val="99"/>
    <w:semiHidden/>
    <w:unhideWhenUsed/>
    <w:rsid w:val="00C02A45"/>
    <w:pPr>
      <w:spacing w:before="120" w:after="16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A59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A595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629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115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24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636724">
          <w:marLeft w:val="30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635005">
              <w:marLeft w:val="-2550"/>
              <w:marRight w:val="480"/>
              <w:marTop w:val="48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500683">
              <w:marLeft w:val="-2550"/>
              <w:marRight w:val="480"/>
              <w:marTop w:val="48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994830">
              <w:marLeft w:val="-2550"/>
              <w:marRight w:val="480"/>
              <w:marTop w:val="48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799637">
              <w:marLeft w:val="-2550"/>
              <w:marRight w:val="480"/>
              <w:marTop w:val="48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71717">
              <w:marLeft w:val="-2550"/>
              <w:marRight w:val="480"/>
              <w:marTop w:val="48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792956">
              <w:marLeft w:val="-2550"/>
              <w:marRight w:val="480"/>
              <w:marTop w:val="48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481001">
              <w:marLeft w:val="-2550"/>
              <w:marRight w:val="480"/>
              <w:marTop w:val="48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654205">
              <w:marLeft w:val="-2550"/>
              <w:marRight w:val="480"/>
              <w:marTop w:val="48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68225">
              <w:marLeft w:val="-2550"/>
              <w:marRight w:val="480"/>
              <w:marTop w:val="48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bujet.ru/article/374762.php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4294958656</TotalTime>
  <Pages>5</Pages>
  <Words>1569</Words>
  <Characters>8946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Хохлова Анна Юрьевна</cp:lastModifiedBy>
  <cp:revision>2</cp:revision>
  <dcterms:created xsi:type="dcterms:W3CDTF">2019-04-24T14:18:00Z</dcterms:created>
  <dcterms:modified xsi:type="dcterms:W3CDTF">2019-04-24T14:18:00Z</dcterms:modified>
</cp:coreProperties>
</file>