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949" w:rsidRPr="00C10F1F" w:rsidRDefault="005F3949" w:rsidP="00211AFB">
      <w:pPr>
        <w:spacing w:after="0" w:line="240" w:lineRule="auto"/>
        <w:ind w:left="1091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F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№ </w:t>
      </w:r>
      <w:r w:rsidR="00D66D34" w:rsidRPr="00846F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846F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5F3949" w:rsidRDefault="005F3949" w:rsidP="00846F81">
      <w:pPr>
        <w:spacing w:after="0" w:line="240" w:lineRule="auto"/>
        <w:rPr>
          <w:rFonts w:ascii="Times New Roman" w:hAnsi="Times New Roman" w:cs="Times New Roman"/>
        </w:rPr>
      </w:pPr>
    </w:p>
    <w:p w:rsidR="000A2EF9" w:rsidRPr="00846F81" w:rsidRDefault="000A2EF9" w:rsidP="00846F81">
      <w:pPr>
        <w:spacing w:after="0" w:line="240" w:lineRule="auto"/>
        <w:rPr>
          <w:rFonts w:ascii="Times New Roman" w:hAnsi="Times New Roman" w:cs="Times New Roman"/>
        </w:rPr>
      </w:pPr>
    </w:p>
    <w:p w:rsidR="005F3949" w:rsidRPr="00846F81" w:rsidRDefault="005F3949" w:rsidP="00846F81">
      <w:pPr>
        <w:spacing w:after="0" w:line="240" w:lineRule="auto"/>
        <w:rPr>
          <w:rFonts w:ascii="Times New Roman" w:hAnsi="Times New Roman" w:cs="Times New Roman"/>
        </w:rPr>
      </w:pPr>
    </w:p>
    <w:p w:rsidR="00F55AFC" w:rsidRDefault="00584F81" w:rsidP="00846F81">
      <w:pPr>
        <w:spacing w:line="240" w:lineRule="auto"/>
        <w:jc w:val="center"/>
      </w:pP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об исполнении и оценка эффективности реализации Дополнительного плана мероприятий по росту доходного потенциала области и по оптимизации расходов консолидированного бюджета области до уровня расчетных объемов расходных обязательств бюджетов субъектов Российской Федерации и органов местного самоуправления, определенных в порядке, установленном постановлением Правительства Российской Федерации от 22 ноября 2004 года № 670 «О распределении дотаций на выравнивание бюджетной обеспеченности субъектов Российской Федерации», на 2018 - 2021 годы, утвержденного постановлением Правительства Саратовской области от 27 сентября 2018 года № 538-П, за 202</w:t>
      </w:r>
      <w:r w:rsidR="00EE0D7E" w:rsidRPr="00EE0D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584F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</w:p>
    <w:tbl>
      <w:tblPr>
        <w:tblW w:w="15907" w:type="dxa"/>
        <w:tblInd w:w="-459" w:type="dxa"/>
        <w:tblLayout w:type="fixed"/>
        <w:tblLook w:val="06A0" w:firstRow="1" w:lastRow="0" w:firstColumn="1" w:lastColumn="0" w:noHBand="1" w:noVBand="1"/>
      </w:tblPr>
      <w:tblGrid>
        <w:gridCol w:w="768"/>
        <w:gridCol w:w="3343"/>
        <w:gridCol w:w="2423"/>
        <w:gridCol w:w="1260"/>
        <w:gridCol w:w="1562"/>
        <w:gridCol w:w="4111"/>
        <w:gridCol w:w="1430"/>
        <w:gridCol w:w="1010"/>
      </w:tblGrid>
      <w:tr w:rsidR="007125AD" w:rsidRPr="00846F81" w:rsidTr="00E877F5">
        <w:trPr>
          <w:trHeight w:val="638"/>
          <w:tblHeader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2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Ответственные за реализацию мероприятий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Финансовая оценка (в годовом исчислении относительно базового (первоначально</w:t>
            </w:r>
            <w:r w:rsidR="00EE0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го) 2018 года), тыс. рублей 202</w:t>
            </w:r>
            <w:r w:rsidR="00EE0D7E" w:rsidRPr="00EE0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55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EE0D7E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за 202</w:t>
            </w:r>
            <w:r w:rsidR="00EE0D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5AD" w:rsidRPr="00846F81" w:rsidRDefault="00B2253E" w:rsidP="005F281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Оценка результативности реализации</w:t>
            </w:r>
            <w:r w:rsid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val="en-US" w:eastAsia="ru-RU"/>
              </w:rPr>
              <w:t xml:space="preserve"> </w:t>
            </w:r>
            <w:r w:rsidRPr="00846F81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  <w:t>мероприятия</w:t>
            </w:r>
          </w:p>
        </w:tc>
      </w:tr>
      <w:tr w:rsidR="007125AD" w:rsidRPr="00846F81" w:rsidTr="00E877F5">
        <w:trPr>
          <w:trHeight w:val="1260"/>
          <w:tblHeader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3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Краткое описание результатов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Суммовая оценка результатов (тыс. рублей)</w:t>
            </w:r>
          </w:p>
        </w:tc>
        <w:tc>
          <w:tcPr>
            <w:tcW w:w="10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25AD" w:rsidRPr="00846F81" w:rsidRDefault="007125AD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312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Мероприятия по росту доходного потенциала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39CE" w:rsidRPr="00846F81" w:rsidRDefault="00D639CE" w:rsidP="00664FA8">
            <w:pPr>
              <w:spacing w:after="0" w:line="228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D639CE" w:rsidRPr="00846F81" w:rsidTr="00E877F5">
        <w:trPr>
          <w:trHeight w:val="247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Увеличение налоговой базы по налогу на прибыль организаций и налогу на имущество организаций за счет реализации значимых инвестиционных проектов на территории области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экономического развития области, 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3765A0" w:rsidRDefault="003765A0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332542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982AA4" w:rsidP="0095543F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2021 году осуществлялась реализация 132 инвестиционных проект</w:t>
            </w:r>
            <w:r w:rsidR="0095543F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ов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с общим объемом инвестиций 759,9 млрд. рублей и созданием 2,2 тысяч рабочих мест</w:t>
            </w:r>
            <w:r w:rsid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в различных отраслях экономики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3765A0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4400496,9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3765A0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13,233</w:t>
            </w:r>
          </w:p>
        </w:tc>
      </w:tr>
      <w:tr w:rsidR="00D639CE" w:rsidRPr="00846F81" w:rsidTr="00E877F5">
        <w:trPr>
          <w:trHeight w:val="172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1.2.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Увеличение налоговой базы по налогу на доходы физических лиц за счет создания новых рабочих мест в ходе реализации инвестиционных проектов на территории области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экономического развития области, министерство промышленности и энергетики области, министерство сельского хозяйства области, министерство строительства и жилищно-коммунального хозяйства области, 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1D559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50128,5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054B1F" w:rsidP="0095543F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2021 году осуществлялась реализация 132 инвестиционных проект</w:t>
            </w:r>
            <w:r w:rsidR="0095543F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ов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с общим объемом инвестиций 759,9 млрд. рублей и созданием 2,2 тысяч рабочих мест в различных отраслях экономики.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1D559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67798,8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1D559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1,353</w:t>
            </w:r>
          </w:p>
        </w:tc>
      </w:tr>
      <w:tr w:rsidR="00D639CE" w:rsidRPr="00846F81" w:rsidTr="00E877F5">
        <w:trPr>
          <w:trHeight w:val="24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Расширение налоговой базы за счет реализации инвестиционных проектов на территории опережающего социально-экономического развития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экономического развития области, министерство промышленности и энергетики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Статус резидента ТОСЭР «Петровск» присвоен Минэкономразвития России семи юридическим лицам:</w:t>
            </w:r>
          </w:p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1. ООО «ГМТ - Саратов» - проект «Строительство завода по производству сжиженного природного газа». </w:t>
            </w:r>
          </w:p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2. ООО «Петровский завод автозапчастей» - проект «Производство автозапчастей». </w:t>
            </w:r>
          </w:p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3. ООО «ИМТЭК ТЕХНОЛОГИИ» - проект «Организация производства тест-систем, мочеприемников педиатрических и масок медицинских». (30 марта 2021 года подписано Соглашение о расторжении Соглашения № 4 об осуществлении деятельности на территории опережающего социально-экономического развития «Петровск» от 14 сентября 2018 года)</w:t>
            </w:r>
          </w:p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eastAsia="ru-RU"/>
              </w:rPr>
              <w:t>4. ООО Грибной комбинат «Петровский» - проект «Выращивание культивированных шампиньонов»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 </w:t>
            </w:r>
          </w:p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5. ООО НПО «ПетроБАС» - проект «Разработка и производство подъемно-транспортного оборудования и технических устройств для 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нефтегазовой промышленности».</w:t>
            </w:r>
          </w:p>
          <w:p w:rsidR="0011533B" w:rsidRPr="0095543F" w:rsidRDefault="0011533B" w:rsidP="0011533B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6. ООО «НПО Технокомплекс» - проект «Организация производств </w:t>
            </w:r>
            <w:proofErr w:type="spellStart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блочно</w:t>
            </w:r>
            <w:proofErr w:type="spellEnd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-модульных станций очистки питьевых и сточных вод и систем обратного осмоса, а также производств </w:t>
            </w:r>
            <w:proofErr w:type="spellStart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блочно</w:t>
            </w:r>
            <w:proofErr w:type="spellEnd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-модульных станций по переработке птичьего помета в г. Петровск».</w:t>
            </w:r>
          </w:p>
          <w:p w:rsidR="00D639CE" w:rsidRPr="0095543F" w:rsidRDefault="0011533B" w:rsidP="0041742C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7. ООО «</w:t>
            </w:r>
            <w:proofErr w:type="spellStart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ГринДар</w:t>
            </w:r>
            <w:proofErr w:type="spellEnd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» - проект «Организация производства органического удобрения на основе куриного помета». </w:t>
            </w:r>
            <w:r w:rsidR="0041742C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бъем инвестиций составляет около 3,0 млрд рублей. </w:t>
            </w:r>
            <w:r w:rsidR="0041742C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2021 году о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бъем поступлений по данным организациям состав</w:t>
            </w:r>
            <w:r w:rsidR="0041742C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ил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2571,2 тыс. рублей.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95543F" w:rsidRDefault="0011533B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1D559E"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1D559E" w:rsidP="0047299E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D639CE" w:rsidRPr="00846F81" w:rsidTr="00E877F5">
        <w:trPr>
          <w:trHeight w:val="6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1.4.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Увеличение поступлений в бюджет доходов за счет повышения эффективности функционирования комплексов </w:t>
            </w:r>
            <w:proofErr w:type="spellStart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фотовидеофиксации</w:t>
            </w:r>
            <w:proofErr w:type="spellEnd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нарушений правил дорожного движения, а также увеличения количества комплексов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327F2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327F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7134A9" w:rsidP="00700A45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За 2021 год вынесено </w:t>
            </w:r>
            <w:r w:rsidR="006626AD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1648,7 тыс. постановлений </w:t>
            </w:r>
            <w:r w:rsidR="00F11D4F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об административных правона</w:t>
            </w:r>
            <w:r w:rsidR="00F11D4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рушениях, </w:t>
            </w:r>
            <w:r w:rsidR="00F11D4F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выявленных при помощи автоматизированной системы фотовидеофиксации нарушений правил дорожного движения</w:t>
            </w:r>
            <w:r w:rsidR="00F11D4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</w:t>
            </w:r>
            <w:r w:rsidR="00F11D4F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6626AD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на сумму 1132,9 млн рублей, поступления по штрафам составили 969,</w:t>
            </w:r>
            <w:r w:rsidR="00700A4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8</w:t>
            </w:r>
            <w:r w:rsidR="006626AD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млн рублей.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327F22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106550,2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327F22" w:rsidP="00327F22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</w:t>
            </w:r>
          </w:p>
        </w:tc>
      </w:tr>
      <w:tr w:rsidR="00D639CE" w:rsidRPr="00846F81" w:rsidTr="00E877F5">
        <w:trPr>
          <w:trHeight w:val="6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росту доходного потенциала: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56B09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429671,0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56B09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  <w:t>4577417,1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312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 Мероприятия по оптимизации расходов консолидированного бюджета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726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7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Оптимизация функций, выполняемых бюджетной сетью, реорганизация учреждений, передача полномочий органов власти области подведомственным казенным учреждениям, оптимизация численности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37220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417811,6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372207" w:rsidRDefault="0037220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304578,5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639CE" w:rsidRPr="00846F81" w:rsidTr="0028235A">
        <w:trPr>
          <w:trHeight w:val="631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3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Вывод прочего персонала (за исключением руководящих работников, работников культуры) из штата муниципальных учреждений культуры (перевод на аутсорсинг или введение в штат учреждений по хозяйственному или иному обслуживанию)</w:t>
            </w:r>
          </w:p>
        </w:tc>
        <w:tc>
          <w:tcPr>
            <w:tcW w:w="2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органы местного самоуправления области (по согласованию)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2018 - 2021 годы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9E775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170283,6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21160" w:rsidP="00D32217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42116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По итогам 9 месяцев 2021 года по данным Росстата среднесписочная численность управленческого, обслуживающего и вспомогательного персонала (кроме руководителей и их замов) составляет 468,7 чел. или 9,8% общей численности работников учреждений культуры. Средняя заработная плата списочного состава в муниципальных </w:t>
            </w:r>
            <w:r w:rsidRPr="0042116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учреждениях в области культуры за 9 месяцев 2021 года составила 30,1 тыс.</w:t>
            </w:r>
            <w:r w:rsidR="0098167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42116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рублей при планируемой среднемесячной заработной плате </w:t>
            </w:r>
            <w:r w:rsidR="0098167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2021 году 30,8 тыс. рублей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 </w:t>
            </w:r>
            <w:r w:rsidRPr="00421160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Вывод обслуживающего персонала из состава учреждений культуры (среднесписочная численность на 1 октября 2021 года сократилась по сравнению с 1 января 2018 года на 984,7 чел.) обеспечит ожидаемую экономию средств областного и местных бюджетов за 2021 год в объеме 281,2 млн рублей.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9E775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281190,8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9E7757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9E775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651</w:t>
            </w:r>
          </w:p>
        </w:tc>
      </w:tr>
      <w:tr w:rsidR="00D639CE" w:rsidRPr="00846F81" w:rsidTr="00E877F5">
        <w:trPr>
          <w:trHeight w:val="6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2.1.2.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Передача функций по приему документов от населения многофункциональным центрам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органы исполнительной власти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21AA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35A" w:rsidRDefault="00981670" w:rsidP="007134A9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настоящее время действует 17 соглашений о взаимодействии между ГАУ СО «МФЦ» и органами исполнительной власти области, при этом перечень государственных услуг, предусмотренный данными соглашениями, постоянно расширяется. Процесс передачи в ГАУ СО «МФЦ» функций по приему документов от населения по услугам органов исполнительной власти региона носит постоянный характер, осуществляется на основании постановления Правительства Саратовской области от 13</w:t>
            </w:r>
            <w:r w:rsidR="00D32217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марта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2013</w:t>
            </w:r>
            <w:r w:rsidR="00D32217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года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№ 111-П «Об утверждении Перечня государственных услуг органов исполнительной власти Саратовской области, а также органов местного самоуправления Саратовской области при осуществлении отдельных государственных полномочий, переданных законами Саратовской области, предоставление которых организуется в многофункциональных центрах предоставления государственных и муниципальных услуг» и в рамках действующих соглашений о взаимодействии. В рамках данных соглашений за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2021 год предоставлено 146353 государственных услуг регионального уровня, число заявителей, обратившихся за услугами, составило 238699 человек.</w:t>
            </w:r>
            <w:r w:rsidR="00D32217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</w:p>
          <w:p w:rsidR="00AF68EE" w:rsidRPr="00FC2218" w:rsidRDefault="00AF68EE" w:rsidP="00377877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5C50E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lastRenderedPageBreak/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73B3" w:rsidRPr="00846F81" w:rsidRDefault="00E502CF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9D74F8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  <w:p w:rsidR="00D639CE" w:rsidRPr="00846F81" w:rsidRDefault="00D639CE" w:rsidP="00664FA8">
            <w:pPr>
              <w:spacing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639CE" w:rsidRPr="00846F81" w:rsidTr="00E877F5">
        <w:trPr>
          <w:trHeight w:val="386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2.1.3.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Реорганизация неэффективных учреждений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561,3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DC8" w:rsidRDefault="002A4216" w:rsidP="00764DC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Проведена реорганизация четырех учреждений культуры 1) </w:t>
            </w:r>
            <w:r w:rsidR="0095190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ГАУК «Саратовский губернский театр хоровой музыки»</w:t>
            </w:r>
            <w:r w:rsidR="0095190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форме присоединения к учреждению </w:t>
            </w:r>
            <w:r w:rsidR="0095190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ГАУК «Саратовская областная филармония имени А.</w:t>
            </w:r>
            <w:r w:rsidR="0095190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5190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Шнитке</w:t>
            </w:r>
            <w:proofErr w:type="spellEnd"/>
            <w:r w:rsidR="0095190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»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(распоряжение Правительства области от 31.01.2018 № 14-Пр «О реорганизации государственного автономного учреждения культуры «Саратовская областная филармония имени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А.Шнитке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». Экономический эффект в 2021 году составил 527,9 тыс. рублей; 2) </w:t>
            </w:r>
            <w:r w:rsidR="001401C4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ГАУК «Детское театрально-концертное учреждение»</w:t>
            </w:r>
            <w:r w:rsidR="001401C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форме присоединения к учреждению </w:t>
            </w:r>
            <w:r w:rsidR="001401C4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ГАУК «Саратовский академический театр юного зрителя им.</w:t>
            </w:r>
            <w:r w:rsidR="001401C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1401C4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Ю.П. Киселева»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(распоряжение Правительства области от 03.10.2018 №</w:t>
            </w:r>
            <w:r w:rsidR="00764DC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266-Пр «О реорганизации государственного автономного учреждения культуры «Саратовский академический театр юного зрителя им. Ю.П.</w:t>
            </w:r>
            <w:r w:rsidR="001401C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Киселева». Экономический эффект в 2021 го</w:t>
            </w:r>
            <w:r w:rsidR="00F55927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ду составил 1240,4тыс. рублей.</w:t>
            </w:r>
          </w:p>
          <w:p w:rsidR="00D639CE" w:rsidRPr="005A0E15" w:rsidRDefault="002D4C86" w:rsidP="00DE4924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</w:t>
            </w:r>
            <w:r w:rsidR="00764DC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целях совершенствования деятельности государственных учреждений социального обслуживания и централизации функций по юридическому сопровождению, кадровой работе и бухгалтерскому учету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соответствии с распоряжениями Правит</w:t>
            </w:r>
            <w:r w:rsidR="0028235A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ельства области от 09.04.2018 №</w:t>
            </w:r>
            <w:r w:rsidR="0028235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="0028235A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97-Пр и 98-Пр была проведена реорганизация в форме присоединения одного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учреждения к другому: ГБУ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Колоярский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ПНИ» и ГАУ «Черкасский ПНИ»; ГАУ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Вязовский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ПНИ» и ГАУ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Адоевщинский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ПНИ». Совокупный экономический эффект в 2021 году составил 5818,5 тыс. рублей. В соответствии с распоряжением Правительства области от 13.08.2018 № 224-Пр «О реорганизации государственных профессиональных образовательных учреждений Саратовской области» в результате реорганизации в форме присоединения ГБПОУ «Советский политехнический лицей» филиалом к ГАПОУ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Энгельсский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механико-технологический техникум» сокращена 1 штатная единица главного бухгалтера. В соответствии с распоряжением Правительства области от 29.06.2018 № 164-Пр «О реорганизации государственных профессиональных образовательных учреждений Саратовской области» в результате реорганизации в форме присоединения ГБПОУ «Саратовский лицей речного транспорта» к ГАПОУ «Саратовский техникум строительных технологий и сферы обслуживания»  сокращена 1 штатная единица заместителя директора. В соответствии с распоряжением Правительства области от 20</w:t>
            </w:r>
            <w:r w:rsid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.12.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2018 №</w:t>
            </w:r>
            <w:r w:rsidR="00764DC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349-Пр в 2019 году проведена реорганизация ГУ «Областная станция по борьбе с болезнями животных», ОГУ «Саратовская городская станция по борьбе с болезнями животных», ОГУ «Саратовская районная станция по борьбе с болезнями животных» путем их слияния в ОГУ «Саратовская межрайонная станция по борьбе с болезнями животных»</w:t>
            </w:r>
            <w:r w:rsidR="00764DC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 что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привело к сокращению сети подведомственных учреждени</w:t>
            </w:r>
            <w:r w:rsidR="00764DC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на 2 единицы и штатной численности на 16 единиц. Учитывая, что объем государственного задания не изменился, а нагрузка на действующих сотрудников возросла, средства областного бюджета направлены на  финансирование вновь созданного учреждения в соответствии с заключенным соглашением о порядке и условиях предоставления субсидий на выполнение услуг (работ) в рамках государственного задания. В 2019 году в соответствии с распоряжением Правительства области от 11</w:t>
            </w:r>
            <w:r w:rsid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.07.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2019 №</w:t>
            </w:r>
            <w:r w:rsidR="00764DC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158-Пр проведена реорганизация ГАПОУ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медицинский колледж», ГАУДПО «Саратовский областной центр повышения квалификации» в форме присоединения к ГАПОУ </w:t>
            </w:r>
            <w:r w:rsidRP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«Саратовский областной базовый медицинский колледж».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2020 году проведена реорганизация учреждений здравоохранения области: 1) ГУЗ «СГКБ №12» в форме присоединения к ГУЗ ОККД (распоряжение Правительства области от 22.05.2020 № 135-Пр); 2) ГУЗ «ЭПЦ» в форме присоединения к ГУЗ «ЭГКБ №1» (распоряжение Правительства области от 04.08.2020 № 220-Пр); 3) ГУЗ «Детская городская поликлиника г. Балаково», ГУЗ «ГП №1 г. Балаково», ГУЗ «ГП №2 г. Балаково» в форме присоединения к ГУЗ БРП (распоряжение Правительства области от 20.08.2020 № 248-Пр); 4)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ССМП»,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детская больница»,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родильный дом» в форме присоединения к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РБ»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(распоряжение Правительства области от 20.08.2020 № 248-Пр); 5)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ПТД»,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Вольский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ПТД» в форме присоединения к ГУЗ «Областной клинический противотуберкулезный диспансер» (распоряжение Правительства области от 20.08.2020 № 251-Пр); 6) ГУЗ «ЭГДП №1» и ГУЗ «ЭГДП №2» путем создания нового учреждения ГУЗ «ЭГДП» (распоряжение Правительства области от 20.08.2020 № 250-Пр). В 2021 году проведена реорганизация учреждений здравоохранения области: 1) ГУЗ «ЦМКСО» в форме присоединения к ГУЗ «СГССМП» (распоряжение Правительства области от 30.10.2020 № 316-Пр); 2) ГУЗ «СГП № 17» и ГУЗ «СГП № 19» путем создания нового учреждения ГУЗ «СГМП № 1» (распоряжение Правительства области от 30.10.2020 № 315-Пр); 3) ГУЗ «СГДП № 1», ГУЗ «СГДП № 2», ГУЗ «СГДП № 4», ГУЗ «СГДБ № 4» путем создания нового учреждения ГУЗ «СЦГМДП» распоряжение Правительства области от 03.12.2020 № 348-Пр).  4)</w:t>
            </w:r>
            <w:r w:rsid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ГУЗ «СГП №14» в форме присоединения к ГУЗ «СГКБ №</w:t>
            </w:r>
            <w:r w:rsidR="00FD4CB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 им.</w:t>
            </w:r>
            <w:r w:rsid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В.И. Разумовского» (распоряжение Правительства области от 20.01.2021 № 8-Пр); 5) ГУЗ «СГП №10» в форме присоедин</w:t>
            </w:r>
            <w:r w:rsidR="00FD4CB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ен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ия к ГУЗ «СГКБ №</w:t>
            </w:r>
            <w:r w:rsidR="00FD4CB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5» (распоряжение Правительства области от 20.01.2021 № 9-Пр); 6) ГУЗ «Саратовская городская клиническая больница № 9», ГУЗ «Саратовская городская поликлиника </w:t>
            </w:r>
            <w:r w:rsidR="0028235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3» и ГУЗ «Саратовская городская поликлиника </w:t>
            </w:r>
            <w:r w:rsidR="0028235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20» в форме присоединения второго и третьего учреждения к первому (распоряжение Правительства области от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17.03.2021 № 69-Пр); 7) ГАУЗ «Саратовская стоматологическая поликлиника </w:t>
            </w:r>
            <w:r w:rsidR="0028235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="00FD4CB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1», ГАУЗ «Саратовская стоматологическая поликлиника </w:t>
            </w:r>
            <w:r w:rsidR="0028235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="00FD4CB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3», ГУЗ «Саратовская стоматологическая поликлиника </w:t>
            </w:r>
            <w:r w:rsidR="0028235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5» и ГУЗ «Саратовская стоматологическая поликлиника </w:t>
            </w:r>
            <w:r w:rsidR="00FD4CB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="00FD4CB3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8» путем слияния в ГАУЗ «Саратовская межрайонная стоматологическая поликлиника» (распоряжение Правительства области от 17.03.2021 № 70-Пр); </w:t>
            </w:r>
            <w:r w:rsidR="00041D5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8)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ГУЗ «Саратовская городская клиническая больница </w:t>
            </w:r>
            <w:r w:rsidR="00FD4CB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6 имени академика В.Н. Кошелева» и ГАУЗ Саратовской области «Областная офтальмологическая больница» в форме присоединения второго учреждения к первому (распоряжение Правительства области от 17.03.2021 № 71-Пр)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B21AA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7586,8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816182" w:rsidP="00B21A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  <w:r w:rsidR="00B21A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</w:tr>
      <w:tr w:rsidR="00D639CE" w:rsidRPr="00846F81" w:rsidTr="00514C6A">
        <w:trPr>
          <w:trHeight w:val="133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2.1.4.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Ликвидация Красноармейского фи</w:t>
            </w:r>
            <w:r w:rsidR="008C31A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лиала ГАПОУ СО «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Саратовский техникум промышленных техноло</w:t>
            </w:r>
            <w:r w:rsidR="008C31A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гий и автомобильного сервиса»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образования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2018 - 2020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4C6A" w:rsidRPr="00FC2218" w:rsidRDefault="00D639CE" w:rsidP="002A6C19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 01.09.2018 г</w:t>
            </w:r>
            <w:r w:rsidR="00176E39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ода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прием студентов в филиале не осущ</w:t>
            </w:r>
            <w:r w:rsidR="00A11A5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ествляется. Экономия сложилась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за счет сокращенной штатной численности 8,5 ед. (4 мастера п</w:t>
            </w:r>
            <w:r w:rsidR="00A11A5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роизводственного обучения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и 4,5 преподавателя). Экономический эффект за 202</w:t>
            </w:r>
            <w:r w:rsidR="006B570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1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г</w:t>
            </w:r>
            <w:r w:rsidR="00176E39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од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составил 3800,2 тыс. руб</w:t>
            </w:r>
            <w:r w:rsidR="000B23F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</w:t>
            </w:r>
          </w:p>
          <w:p w:rsidR="00AF68EE" w:rsidRPr="00FC2218" w:rsidRDefault="00AF68EE" w:rsidP="002A6C19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0C2766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D639CE"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D639CE" w:rsidRPr="00846F81" w:rsidTr="00E877F5">
        <w:trPr>
          <w:trHeight w:val="343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2.1.5.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Ликвидация территориального органа министерства социального развития области (г. Саратов) с передачей </w:t>
            </w:r>
            <w:r w:rsidR="00E877F5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его функций казенному учрежден</w:t>
            </w:r>
            <w:r w:rsidR="004710E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ию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социального развития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20A9" w:rsidRPr="005A0E15" w:rsidRDefault="005120A9" w:rsidP="005120A9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29 декабря 2018 года в соответствии с постановлением Правительства Саратовской области от 31 октября 2018 года № 593-П «О внесении изменений в постановления Правительства Саратовской области от 15 октября 2007 года № 337-П и от 1 ноября 2007 года </w:t>
            </w:r>
            <w:r w:rsidR="00FD4CB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№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387-П» было сокращено 116 штатных единиц государственных гражданских служащих комитета социальной защиты населения г. Саратова министерства социального развития области. </w:t>
            </w:r>
          </w:p>
          <w:p w:rsidR="005120A9" w:rsidRPr="005A0E15" w:rsidRDefault="005120A9" w:rsidP="005120A9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В соответствии с  постановлением Правительства области от 08.10.2018 № 558-П «О наделении полномочиями государственного казенного учреждения Саратовской области «Центр коммуникации по вопросам социальной защиты населения Саратовской области» с 1 января 2019 года государственное казенное учреждение области «Центр коммуникации по вопросам социальной защиты населения Саратовской области» наделено полномочиями в сфере социальной поддержки населения области для обеспечения отдельных функций министерства социального развития области. </w:t>
            </w:r>
          </w:p>
          <w:p w:rsidR="00D639CE" w:rsidRPr="005A0E15" w:rsidRDefault="005120A9" w:rsidP="005F281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В соотве</w:t>
            </w:r>
            <w:r w:rsidR="002A6C19"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т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ствии с постановлением Правительства области от 05.10.2018 № 555-П «Об упразднении комитета социальной защиты населения г. Саратова министерства социального развития Саратовской области» комитет социальной защиты населения г. Саратова министерства социального развития области упразднен с 1 февраля 2019 года. Соотве</w:t>
            </w:r>
            <w:r w:rsidR="002A6C19"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т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ствующая запись о ликвидации (упразднении) занесена в единый государственный реестр юридических лиц 20</w:t>
            </w:r>
            <w:r w:rsidR="002A6C19"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.02.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2019 года. Упразднение комитета позволило в 2019 году уменьшить расходы на содержание государственных гражданских служащих на 60,0 млн рублей, в том числе 46,5 млн рублей были направлены на содержание ГКУ «Центр коммуникации по вопросам социальной защиты населения Саратовской области», как </w:t>
            </w:r>
            <w:r w:rsidR="00FC2218"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правопреемника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комитета. В результате ликвидация территориального органа позволила сэкономить 13,5 млн рублей, которые в первом квартале 2019 года были перенаправлены на 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lastRenderedPageBreak/>
              <w:t>содержание государственных казенных учреждений социальной поддержки населения Саратовской области (</w:t>
            </w:r>
            <w:proofErr w:type="spellStart"/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непервоочередные</w:t>
            </w:r>
            <w:proofErr w:type="spellEnd"/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расходы). В 2020 и в 2021 годах сумма экономии составила ежегодно по 9400,0 тыс. рублей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7F5" w:rsidRPr="0095543F" w:rsidRDefault="00E877F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9400,0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E877F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A771A6" w:rsidRPr="00846F81" w:rsidTr="00E877F5">
        <w:trPr>
          <w:trHeight w:val="161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2.1.6.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C31A2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8C31A2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Сокращение не менее чем на 5 процентов административно-управленческого персонала и работников административно-хозяйственных служб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5A0E15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A771A6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846F81" w:rsidRDefault="00925DBB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204766,5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5A0E15" w:rsidRDefault="0050061C" w:rsidP="009B613E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2018 году в четырех учреждениях культуры (ГАУК «Саратовская областная филармония имени А.</w:t>
            </w:r>
            <w:r w:rsid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Шнитке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», ГАУК «Саратовский губерн</w:t>
            </w:r>
            <w:r w:rsidR="00E24B75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ский театр хоровой музыки»,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ГАУК «Саратовский академический театр юного зрителя им.</w:t>
            </w:r>
            <w:r w:rsidR="002A6C1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Ю.П. Киселева»  ГАУК «Детское театрально-концертное учреждение») произошло сокращение штатной численности административно-управленческого персонала в количестве 24 единиц. За 2021 год экономический эффект составил 2205,7 тыс. рублей.</w:t>
            </w:r>
            <w:r w:rsidR="009868D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соответствии с распоряжением Правительства области от 20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.12.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2018 №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349-Пр сокращено 4 единицы административно-управленческого персонала по итогам реорганизации ГУ «Областная станция по борьбе с болезнями животных», ОГУ «Саратовская городская станция по борьбе с болезнями животных», ОГУ «Саратовская районная станция по борьбе с болезнями животных» путем их слияния в ОГУ «Саратовская межрайонная станция по</w:t>
            </w:r>
            <w:r w:rsidR="00E24B75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борьбе с болезнями животных».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Учитывая, что объем государственного задания не изменился, средства областного бюджета направ</w:t>
            </w:r>
            <w:r w:rsidR="00E24B75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лены на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финансирование вновь созданного учреждения в соответствии с заключенным соглашением о порядке и  условиях предоставления субсидий на выполнение работ в рамках государственного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задания. </w:t>
            </w:r>
            <w:r w:rsidR="00E8418D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соответствии с распоряжением Правительства области от 13.08.2018 года № 224-Пр «О реорганизации государственных профессиональных образовательных учреждений Саратовской области» в результате реорганизации  в форме присоединения ГБПОУ «Советский политехнический лицей» филиалом к ГАПОУ «</w:t>
            </w:r>
            <w:proofErr w:type="spellStart"/>
            <w:r w:rsidR="00E8418D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Энгельсский</w:t>
            </w:r>
            <w:proofErr w:type="spellEnd"/>
            <w:r w:rsidR="00E8418D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механико-технологический техникум» сокращена 1 штатная единица административно-управленческого аппарата - главного бухгалтера. Экономический эффект за 2021 год составил  191,5 тыс. рублей. </w:t>
            </w:r>
            <w:r w:rsidR="009868D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соответствии с распоряжением Правительства области от 29.06.2018 № 164-Пр «О реорганизации государственных профессиональных образовательных учреждений Саратовской области» в результате реорганизации в форме присоединения ГБПОУ «Саратовский лицей речного транспорта» к ГАПОУ «Саратовский техникум строительных технологий и сферы обслуживания»  сокращена 1 штатная единица административно-управленческого аппарата - заместителя директора. Экономический эффект за 2021 год составил 203,5 тыс. рублей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1A6" w:rsidRPr="0095543F" w:rsidRDefault="00925DBB" w:rsidP="0095543F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2600,7</w:t>
            </w:r>
            <w:r w:rsidR="00A771A6"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71A6" w:rsidRPr="00846F81" w:rsidRDefault="00A771A6" w:rsidP="00925DBB">
            <w:pPr>
              <w:spacing w:line="228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  <w:r w:rsidR="00925DB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639CE" w:rsidRPr="00846F81" w:rsidTr="00E877F5">
        <w:trPr>
          <w:trHeight w:val="405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7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использования имущества, передача имущества в федеральную и муниципальную собственность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937763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BA62F8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937763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403845,5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340F7" w:rsidRPr="00846F81" w:rsidTr="00E877F5">
        <w:trPr>
          <w:trHeight w:val="6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5A0E15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Передача неиспользуемого имущества в муниципальную собственность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5A0E15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органы исполнительной власти области, имеющие подведомственные учреждения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1340F7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2018 - 2019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846F81" w:rsidRDefault="00BA62F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1340F7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732,6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48B" w:rsidRPr="005A0E15" w:rsidRDefault="0030248B" w:rsidP="0030248B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Государственными автономными учреждениями, подведомственными министерству социального развития области, передано в муниципальную собственность имущество: </w:t>
            </w:r>
          </w:p>
          <w:p w:rsidR="00487986" w:rsidRPr="005A0E15" w:rsidRDefault="0030248B" w:rsidP="0030248B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2018 году согласно распоряжениям комитета по управлению имуществом области (ГАУ «Сосновский психоневрологический интернат»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№ 569-р от 06.06.2017, ГАУ Комплексный центр социального обслуживания населения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Ершовского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района № 8-р от 15.01.2018, ГАУ Комплексный центр социального обслуживания населения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Новоузенского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района № 10-р от 15.01.2018 и № 646-р от 23.07.2018, ГАУ Комплексный центр социального обслуживания населения Петровского района № 1166-р от 29.12.2018 и ГАУ Комплексный центр социального обслуживания населения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Самойловского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района № 9-р от 15.01.2018), было передано имущество, не используемое в целях исполнения государственного задания, на сумму 2633,3 тыс. рублей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(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недвижимого имущества 1506,9 тыс. рублей, особо ценного движимого имущества 183,0 тыс. рублей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земельных участков 943,4 тыс. рублей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)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 Учитывая, что передаваемое имущество имеет 100% износ и учреждениями налоги не уплачивались, экономический эффект от передаваемого имущества отсутствует, за исключением передачи объекта недвижимого имущества и земельного участка ГАУ Комплексный центр социального обслуживания населения Петровского района, по которому экономия в 2021 году составила 151,8 тыс. рублей. В 2019 году передано имущество, не используемое в целях исполнения государственного задания, а также предоставления мер социальной поддержки отдельным категориям граждан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на сумму 7843,9 тыс. рублей, из них: ГАУ «Сосновский психоневрологический интернат» передан земельный участок на сумму 318,8 тыс. рублей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(постановление Администрации Красноармейского района МО от 12.03.2019 № 157). Экономия от уплаты земельного налога в 2021 году составила 1,0 тыс. рублей; </w:t>
            </w:r>
            <w:r w:rsidR="00942F9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ГБУ ДО «Областная комплексная  детско-юношеская спортивно-адаптивная школа «Реабилитация и Физкультура» передано недвижимое имущество на сумму 1896,4 тыс. рублей (распоряжение комитета по управлению имуществом области от 08.08.2019 №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942F9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615-р). Учитывая, что передаваемое имущество имеет 100% износ, экономический эффект от переданного имущества отсутствует. </w:t>
            </w:r>
            <w:r w:rsidR="00DD7B09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ГАУ СОЦ «Пугачевский» передан земельный участок на сумму 2430,8 тыс. рублей (распоряжение комитета по управлению имуществом области от 25.07.2019 №Т-150-р). Экономия от уплаты земельного налога в 2021 году составила 36,5 тыс. рублей.  </w:t>
            </w:r>
            <w:r w:rsidR="00983E8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ГАУ «</w:t>
            </w:r>
            <w:proofErr w:type="spellStart"/>
            <w:r w:rsidR="00983E8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Хватовский</w:t>
            </w:r>
            <w:proofErr w:type="spellEnd"/>
            <w:r w:rsidR="00983E8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дом-интернат для престарелых и инвалидов» передан земельный участок на сумму 3108,5 тыс. рублей (распоряжение комитета по управлению имуществом области от 31.12.2019 №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983E8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Т-414-р).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983E8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Э</w:t>
            </w:r>
            <w:r w:rsidR="000A2EF9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кономический эффект отсутствует. </w:t>
            </w:r>
            <w:r w:rsidR="001108A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ГКУ УСПН Федоровского района передано недвижимое имущество (здание) на сумму 46,1 тыс. рублей (распоряжение комитета по управлению имуществом области от 16.12.2019 №1120-р). Учитывая, что на переданное имущество имеет 100% износ, экономический эффект от передаваемого имущества отсутствует.  </w:t>
            </w:r>
            <w:r w:rsidR="009D15E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2020 году в муниципальную собственность передано имущество, не используемое в целях исполнения государственного задания, на сумму 2325,4 тыс. </w:t>
            </w:r>
            <w:r w:rsidR="009D15E2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рублей, из них: ГАУ «Сосновский психоневрологический интернат» передан земельный участок на сумму 2085,2 тыс. рублей (распоряжение комитета по управлению имущества области от 24.01.2020 № Т-21-р) и на сумму 57,6 тыс. рублей (распоряжение комитета по управлению имущества области от 31.01.2020 № 67-р). Экономия от уплаты земельного налога в 2021 году составила 24,1 тыс. рублей. Кроме того, передано недвижимое имущество на сумму 182,5 тыс. рублей (распоряжение комитета по управлению имуществом области от 31.01.2020 № 67-р). Учитывая, что передаваемое имущество имеет 100% износ, экономический эффект от переданного имущества отсутствует. </w:t>
            </w:r>
            <w:r w:rsidR="000E3ECE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2021 году ГАУ «</w:t>
            </w:r>
            <w:proofErr w:type="spellStart"/>
            <w:r w:rsidR="000E3ECE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Хвалынский</w:t>
            </w:r>
            <w:proofErr w:type="spellEnd"/>
            <w:r w:rsidR="000E3ECE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дом-интернат» передан газорегуляторный пункт на сумму 14,4 тыс. рублей (распоряжение комитета по управлению имуществ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ом</w:t>
            </w:r>
            <w:r w:rsidR="000E3ECE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области от 28.12.2021 № 1405р). Учитывая, что передаваемое имущество имеет 100% износ, экономический эффект от передаваемого имущества в 2021 году отсутствует. </w:t>
            </w:r>
            <w:r w:rsidR="001A70B0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соответствии с распоряжением комитета по управлению имуществом области от 19.07.2018 № 639-р переданы неиспользуемые здания учебного корпуса и общежития от ГБПОУ «Саратовский лицей речного транспорта» ГАПОУ «Саратовский областной базовый медицинский колледж». Экономический эффект за 202</w:t>
            </w:r>
            <w:r w:rsidR="008C7E56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1</w:t>
            </w:r>
            <w:r w:rsidR="001A70B0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год составил 1976,2 тыс. рублей.</w:t>
            </w:r>
          </w:p>
          <w:p w:rsidR="00487986" w:rsidRPr="005A0E15" w:rsidRDefault="0046108D" w:rsidP="00664FA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2018 году ГКУ «Дирекция транспорта и дорожного хозяйства» передано в муниципальные районы (далее МР) Саратовской области 24 единицы областного имущества на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общую сумму 37569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Марксов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ский</w:t>
            </w:r>
            <w:proofErr w:type="spellEnd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МР - 5 единиц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подвижного состава на сумму 7635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лей, </w:t>
            </w:r>
            <w:proofErr w:type="spellStart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Хвалынский</w:t>
            </w:r>
            <w:proofErr w:type="spellEnd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МР - 3 единицы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дорожной техники на сумму 12092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Воскресенский МР – 3 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единицы подвижного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состава на сумму 1460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Лысогорский</w:t>
            </w:r>
            <w:proofErr w:type="spellEnd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МР – 7 единиц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подвижного состава на сумму 8994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лей, </w:t>
            </w:r>
            <w:proofErr w:type="spellStart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Ершовский</w:t>
            </w:r>
            <w:proofErr w:type="spellEnd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МР – 3 единицы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дорожной техники на сумму 6089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лей, </w:t>
            </w:r>
            <w:proofErr w:type="spellStart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Новоузенский</w:t>
            </w:r>
            <w:proofErr w:type="spellEnd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МР – 1 единица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подвижного состава на сумму 526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Са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мойловский</w:t>
            </w:r>
            <w:proofErr w:type="spellEnd"/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МР – 2 единицы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подвижного состава на сумму 773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)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Фактическая экономия средств областного бюджета за 2021 год составила 1605,8 тыс. 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 в том числе: транспортный налог на переданное имущество - 165,2 тыс. 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; услуги по охраняемой стоянке транспортных средств - 1440,6 тыс. 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лей.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2020 году ГУСО «Транспортное управление» управления делами Правительства области передан в муниципальную собственность Базарно-</w:t>
            </w:r>
            <w:proofErr w:type="spellStart"/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Карабулакского</w:t>
            </w:r>
            <w:proofErr w:type="spellEnd"/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9B613E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МР</w:t>
            </w:r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а/м «ГАЗ-3102» балансовой стоимостью 274,9 тыс.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 экономия расходов на содержание имущества и уплату налогов за 2020 год составила 43,4 тыс. руб</w:t>
            </w:r>
            <w:r w:rsidR="000A2B11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="00320DF3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 в 2021 году 34,0 тыс. рублей.</w:t>
            </w:r>
          </w:p>
          <w:p w:rsidR="001340F7" w:rsidRPr="005A0E15" w:rsidRDefault="008E687A" w:rsidP="005F2818">
            <w:pPr>
              <w:spacing w:after="0" w:line="228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связи с неиспользованием имущества для осуществления уставной деятельности из оперативного управления переданы следующие объекты недвижимости: в 2020 году 1)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РБ» передано из государственной собственности области в муниципальную собственность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Балашовского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муниципального района: нежилое здание, расположенное по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адресу: Саратовская область,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Балашовский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район, с. Большой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Мелик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 ул. Советская, д.4А; 2)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Ершовская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РБ» передано из государственной собственности области в муниципальную собственность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Ершовского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муниципального района земельный участок, расположенный по адресу: Саратовской область,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г.Ершов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, ул. Медиков, д.3А; 3) 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Вольская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РБ» передано из государственной собственности области в муниципальную собственность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Вольского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муниципального района недвижимое имущество, расположенное по адресу: Саратовская области,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г.Вольск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ул. Здравоохранения, д.35: 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н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ежилые помещения, кадастровые номера 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64:42:010416:32,</w:t>
            </w:r>
            <w:r w:rsidR="005F2818"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</w:t>
            </w:r>
            <w:r w:rsidRP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64:42:010416:31, 64:42:010416:30, 64:42:010416:29; земельный участок, кадастровый номер 64:42:010416:59.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В 2021 году из государственной собственности области в муниципаль</w:t>
            </w:r>
            <w:r w:rsidR="00F05DC8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ную собственность: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ГУЗ «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Ершовская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РБ»: нежилое помещение общей площадью 225,1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р-н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Ершовский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п. Целинный, пл. Ленина, д. 4, пом. 1. ГУЗ «Калининская РБ»: нежилое помещение общей площадью 28,7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Калининский район, с. Яснополянское, ул.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Прудная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12/2; нежилое помещение общей площадью 17,8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р-н Калининский, п. Васильевский, ул. Клубная, д. 4; нежилое здание (фельдшерско-акушерский пункт) общей площадью 42,8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р-н Калининский, д.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Богатовка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, ул. Заречная, д. 13. ГКУЗ «СМЦМР «Резерв»: нежилое здание (основной склад) общей площадью 1315,8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(склад № 1) общей площадью 1063,4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(склад № 2) общей площадью 860,0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(склад ГСМ № 1) общей площадью 55,3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(склад ГСМ № 2) общей площадью 101,3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(гараж) общей площадью 63,6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(проходная будка) общей площадью 7,1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 нежилое здание (подстанция трансформаторная) общей площадью 37,9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нежилое здание (эстакада для хранения баллонов) общей площадью 32,8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., расположенное по адресу: Саратовская область, г. Калининск; земельный участок общей площадью 11127,56 +/- 2,1 </w:t>
            </w:r>
            <w:proofErr w:type="spellStart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кв.м</w:t>
            </w:r>
            <w:proofErr w:type="spellEnd"/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., расположенный по адресу: Саратовская область, г. Калин</w:t>
            </w:r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инск, ул. Пролетарская, № 2/1. Содер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жание вышеуказанного имущества осуществлялось за счет средств ОМС.</w:t>
            </w:r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B828F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В соответствии с распоряжением комитета по управлению имуществом области от 20.09.2021 № 1030-р </w:t>
            </w:r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переданы неиспользуемые здания учебного корпуса, мастерской, нежилое строение гаражей и хозяйственный сарай от ГАПОУ «</w:t>
            </w:r>
            <w:proofErr w:type="spellStart"/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Марксовский</w:t>
            </w:r>
            <w:proofErr w:type="spellEnd"/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политехнический колледж» ГАУ «</w:t>
            </w:r>
            <w:proofErr w:type="spellStart"/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Подлесновский</w:t>
            </w:r>
            <w:proofErr w:type="spellEnd"/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дом-интернат для престарелых и инвалидов». Экономический эффект в 2021 году составил 16,1 тыс. руб</w:t>
            </w:r>
            <w:r w:rsidR="00B828FA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лей</w:t>
            </w:r>
            <w:r w:rsidR="00725987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  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0F7" w:rsidRPr="0095543F" w:rsidRDefault="001A2400" w:rsidP="0095543F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3845,5</w:t>
            </w:r>
            <w:r w:rsidR="001340F7"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40F7" w:rsidRPr="00846F81" w:rsidRDefault="001340F7" w:rsidP="001A2400">
            <w:pPr>
              <w:spacing w:line="228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1A240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573F12" w:rsidRPr="00846F8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639CE" w:rsidRPr="00846F81" w:rsidTr="00E877F5">
        <w:trPr>
          <w:trHeight w:val="119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2.2.2.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8C31A2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Передача автомобильной дороги «</w:t>
            </w:r>
            <w:r w:rsidR="00D639CE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Тамбов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- Ртищево – Саратов»</w:t>
            </w:r>
            <w:r w:rsidR="00D639CE"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в федеральную собственность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27C08" w:rsidP="00427C0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400000,0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4503" w:rsidRPr="005A0E15" w:rsidRDefault="00304503" w:rsidP="00304503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Постановлением Правительства Российской Федерации от 18 октября 2018 года № 1241 в перечень автомобильных дорог общего пользования федерального значения внесены изменения в части автомобильной дороги А-298 с изложением в новой редакции как автомобильная дорога Р-208 «Тамбов – Пенза» - Саратов – Пристанное – Ершов – Озинки – граница с Республикой Казахстан. Данное постановление вступило в силу с 1 января 2019 года.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5A0E1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Территориальным агентством по управлению государственным имуществом в Саратовской области принято распоряжение от 08</w:t>
            </w:r>
            <w:r w:rsidR="005F281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>.02.</w:t>
            </w:r>
            <w:r w:rsidRPr="005A0E15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  <w:t xml:space="preserve"> 2019 № 18-р «О безвозмездной передаче имущества из государственной собственности Саратовской области в федеральную собственность» в отношении автомобильной дороги «Тамбов – Ртищево – Саратов» и земельных участков, расположенных в полосе отвода дороги.</w:t>
            </w:r>
          </w:p>
          <w:p w:rsidR="00E877F5" w:rsidRPr="00846F81" w:rsidRDefault="00304503" w:rsidP="005F281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В соответствии с пунктом 1 распоряжения автомобильная дорога «Тамбов – Ртищево – Саратов» после утверждения акта приема-передачи будет закреплена на праве оперативного управления за ФКУ «Федеральное управление автомобильных дорог «Большая Волга» (акт утвержден 20 февраля 2019 года).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Территориальным агентством по управлению государственным имуществом в Саратовской области принято распоряжение от 22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.02.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2019 № 27-р «О закреплении недвижимого имущества на праве оперативного управления за Федеральным казенным учреждением «Федеральное управление автомобильных дорог «Большая Волга» Федерального дорожного агентства», которым автомобильная дорога Тамбов – Ртищево – Саратов закреплена на праве оперативного управления за федеральным казенным учреждением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. 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Территориальным агентством по управлению государственным имуществом в Саратовской области принято распоряжение от 14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.03.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2019 № 41-р «О прекращении ГКУ СО «Дирекция транспорта и дорожного хозяйства» права постоянного (бессрочного) пользования земельными участками, находящимися в федеральной собственности». С 18 по 20 марта 2019 года в </w:t>
            </w:r>
            <w:proofErr w:type="spellStart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Росреестре</w:t>
            </w:r>
            <w:proofErr w:type="spellEnd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прекращено право постоянного (бессрочного) пользования на все 58 земельных участка, расположенных под полосой отвода автомобильной дороги, а также зарегистрировано право собственности Российской Федерации на данные земельные участки. В мае 2019 года ФКУ </w:t>
            </w:r>
            <w:r w:rsidR="00C818E6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«Большая Волга»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подписан акт приема автодороги в оперативное управление. В настоящее время финансирование дорожной деятельности в отношении указанной автодороги осуществляется за счет средств федерального бюджета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46DA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400000,0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3C383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EE3D5F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D639CE" w:rsidRPr="00846F81" w:rsidTr="00AF56D0">
        <w:trPr>
          <w:trHeight w:val="476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Объединение (присоединение) поселений, в которых объем налоговых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и неналоговых доходов ниже, чем расходы на аппарат управления, и в собственности отсутствуют муниципальные учреждения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A0E15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 xml:space="preserve">министерство по делам территориальных </w:t>
            </w:r>
            <w:r w:rsidRPr="005A0E15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образований области, органы местного самоуправления (по согласованию)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2019 - 2021 годы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27C0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77F5" w:rsidRPr="00846F81" w:rsidRDefault="008B0D30" w:rsidP="005F281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За 2021 год преобразованы 10 муниципальных образований Саратовского муниципального 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lastRenderedPageBreak/>
              <w:t>района и Саратовский муниципальный район путем их объединения с муниципальным образованием «Город Саратов».</w:t>
            </w:r>
            <w:r w:rsidR="005F281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 состоянию на 1 января 2022 года на территории Саратовской области числится 337 муниципальных образований, из них 4 городских округа, 37 муниципальных районов и 296 поселений (37 городских и 259 сельских).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427C08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1270,0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427C08" w:rsidP="00427C0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</w:tr>
      <w:tr w:rsidR="00D639CE" w:rsidRPr="00846F81" w:rsidTr="00E877F5">
        <w:trPr>
          <w:trHeight w:val="176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2.4.</w:t>
            </w:r>
          </w:p>
        </w:tc>
        <w:tc>
          <w:tcPr>
            <w:tcW w:w="3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5F2818" w:rsidRDefault="00211AFB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eastAsia="ru-RU"/>
              </w:rPr>
            </w:pPr>
            <w:hyperlink r:id="rId8" w:history="1">
              <w:r w:rsidR="00D639CE" w:rsidRPr="005F2818">
                <w:rPr>
                  <w:rFonts w:ascii="Times New Roman" w:eastAsia="Times New Roman" w:hAnsi="Times New Roman" w:cs="Times New Roman"/>
                  <w:spacing w:val="-10"/>
                  <w:sz w:val="20"/>
                  <w:szCs w:val="20"/>
                  <w:lang w:eastAsia="ru-RU"/>
                </w:rPr>
                <w:t>Внесение изменений в Положение о порядке формирования и использования бюджетных ассигнований областного дорожного фонда, утвержденное постановлением Правительства Саратовской области от 31 января 2012 года</w:t>
              </w:r>
              <w:r w:rsidR="008C31A2" w:rsidRPr="005F2818">
                <w:rPr>
                  <w:rFonts w:ascii="Times New Roman" w:eastAsia="Times New Roman" w:hAnsi="Times New Roman" w:cs="Times New Roman"/>
                  <w:spacing w:val="-10"/>
                  <w:sz w:val="20"/>
                  <w:szCs w:val="20"/>
                  <w:lang w:eastAsia="ru-RU"/>
                </w:rPr>
                <w:t>№</w:t>
              </w:r>
              <w:r w:rsidR="00D639CE" w:rsidRPr="005F2818">
                <w:rPr>
                  <w:rFonts w:ascii="Times New Roman" w:eastAsia="Times New Roman" w:hAnsi="Times New Roman" w:cs="Times New Roman"/>
                  <w:spacing w:val="-10"/>
                  <w:sz w:val="20"/>
                  <w:szCs w:val="20"/>
                  <w:lang w:eastAsia="ru-RU"/>
                </w:rPr>
                <w:t xml:space="preserve"> 40-П, в части расширения направлений использования средств областного дорожного фонда на обеспечение деятельности системы </w:t>
              </w:r>
              <w:proofErr w:type="spellStart"/>
              <w:r w:rsidR="00D639CE" w:rsidRPr="005F2818">
                <w:rPr>
                  <w:rFonts w:ascii="Times New Roman" w:eastAsia="Times New Roman" w:hAnsi="Times New Roman" w:cs="Times New Roman"/>
                  <w:spacing w:val="-10"/>
                  <w:sz w:val="20"/>
                  <w:szCs w:val="20"/>
                  <w:lang w:eastAsia="ru-RU"/>
                </w:rPr>
                <w:t>фотовидеофиксации</w:t>
              </w:r>
              <w:proofErr w:type="spellEnd"/>
              <w:r w:rsidR="00D639CE" w:rsidRPr="005F2818">
                <w:rPr>
                  <w:rFonts w:ascii="Times New Roman" w:eastAsia="Times New Roman" w:hAnsi="Times New Roman" w:cs="Times New Roman"/>
                  <w:spacing w:val="-10"/>
                  <w:sz w:val="20"/>
                  <w:szCs w:val="20"/>
                  <w:lang w:eastAsia="ru-RU"/>
                </w:rPr>
                <w:t xml:space="preserve"> нарушений правил дорожного движения</w:t>
              </w:r>
            </w:hyperlink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95543F" w:rsidRDefault="00D639CE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министерство транспорта и дорожного хозяйства области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 квартал 2018 года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7247D7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  <w:r w:rsidR="00D639CE"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C10F1F" w:rsidRDefault="00D639CE" w:rsidP="00AF56D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Постановлением Правительства Саратовской области от 17 декабря 2018 го</w:t>
            </w:r>
            <w:r w:rsidR="008C31A2"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да </w:t>
            </w:r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№ 685-П внесены изменения в постановление Правительства Саратовской области от 31 января 2012 года № 40-П «Об утверждении Положения о порядке формирования и использования бюджетных ассигнований областного дорожного фонда», в  части расширения направлений использования средств областного дорожного фонда на обеспечение деятельности системы </w:t>
            </w:r>
            <w:proofErr w:type="spellStart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>фотовидеофиксации</w:t>
            </w:r>
            <w:proofErr w:type="spellEnd"/>
            <w:r w:rsidRPr="0095543F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eastAsia="ru-RU"/>
              </w:rPr>
              <w:t xml:space="preserve"> нарушений правил дорожного движения</w:t>
            </w:r>
            <w:r w:rsidRPr="00846F81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.</w:t>
            </w:r>
          </w:p>
          <w:p w:rsidR="000A2EF9" w:rsidRPr="00C10F1F" w:rsidRDefault="000A2EF9" w:rsidP="00AF56D0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9CE" w:rsidRPr="00846F81" w:rsidRDefault="0094791B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</w:t>
            </w:r>
            <w:r w:rsidR="00D639CE" w:rsidRPr="009554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9CE" w:rsidRPr="00846F81" w:rsidRDefault="00D639CE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DE7F21" w:rsidRPr="00846F81" w:rsidTr="00E877F5">
        <w:trPr>
          <w:trHeight w:val="56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оптимизации расходов: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1C7ED3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993009,4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95543F" w:rsidRDefault="001C7ED3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554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864059,2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846F81" w:rsidRDefault="00DE7F21" w:rsidP="00664FA8">
            <w:pPr>
              <w:spacing w:after="0" w:line="22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6F8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E7F21" w:rsidRPr="00846F81" w:rsidTr="008C60D3">
        <w:trPr>
          <w:trHeight w:val="2420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46F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C83895" w:rsidP="00664FA8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1422680,4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846F81" w:rsidRDefault="00DE7F21" w:rsidP="00664FA8">
            <w:pPr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7F21" w:rsidRPr="00846F81" w:rsidRDefault="00C83895" w:rsidP="0095543F">
            <w:pPr>
              <w:spacing w:after="0" w:line="228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5441476,3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7F21" w:rsidRPr="005F2818" w:rsidRDefault="00C83895" w:rsidP="00B36794">
            <w:pPr>
              <w:spacing w:after="0" w:line="228" w:lineRule="auto"/>
              <w:contextualSpacing/>
              <w:jc w:val="center"/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0"/>
                <w:szCs w:val="20"/>
              </w:rPr>
            </w:pPr>
            <w:r w:rsidRPr="005F2818">
              <w:rPr>
                <w:rFonts w:ascii="Times New Roman Полужирный" w:hAnsi="Times New Roman Полужирный" w:cs="Times New Roman"/>
                <w:b/>
                <w:bCs/>
                <w:spacing w:val="-10"/>
                <w:sz w:val="20"/>
                <w:szCs w:val="20"/>
              </w:rPr>
              <w:t xml:space="preserve">высокая (эффективная) оценка эффективности реализации мероприятий </w:t>
            </w:r>
            <w:r w:rsidR="00B36794" w:rsidRPr="00B36794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15</w:t>
            </w:r>
            <w:r w:rsidR="00B36794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9,</w:t>
            </w:r>
            <w:r w:rsidR="00B36794" w:rsidRPr="00B36794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3</w:t>
            </w:r>
            <w:r w:rsidRPr="00B36794">
              <w:rPr>
                <w:rFonts w:ascii="Times New Roman" w:hAnsi="Times New Roman" w:cs="Times New Roman"/>
                <w:b/>
                <w:bCs/>
                <w:spacing w:val="-10"/>
                <w:sz w:val="20"/>
                <w:szCs w:val="20"/>
              </w:rPr>
              <w:t>%</w:t>
            </w:r>
          </w:p>
        </w:tc>
      </w:tr>
    </w:tbl>
    <w:p w:rsidR="00D639CE" w:rsidRPr="008C31A2" w:rsidRDefault="00D639CE" w:rsidP="00846F81">
      <w:pPr>
        <w:spacing w:line="240" w:lineRule="auto"/>
        <w:jc w:val="center"/>
        <w:rPr>
          <w:rFonts w:ascii="Times New Roman" w:hAnsi="Times New Roman" w:cs="Times New Roman"/>
          <w:sz w:val="4"/>
          <w:szCs w:val="4"/>
        </w:rPr>
      </w:pPr>
    </w:p>
    <w:sectPr w:rsidR="00D639CE" w:rsidRPr="008C31A2" w:rsidSect="005F2818">
      <w:headerReference w:type="default" r:id="rId9"/>
      <w:pgSz w:w="16838" w:h="11906" w:orient="landscape" w:code="9"/>
      <w:pgMar w:top="992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927" w:rsidRDefault="00F55927" w:rsidP="00487986">
      <w:pPr>
        <w:spacing w:after="0" w:line="240" w:lineRule="auto"/>
      </w:pPr>
      <w:r>
        <w:separator/>
      </w:r>
    </w:p>
  </w:endnote>
  <w:endnote w:type="continuationSeparator" w:id="0">
    <w:p w:rsidR="00F55927" w:rsidRDefault="00F55927" w:rsidP="00487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927" w:rsidRDefault="00F55927" w:rsidP="00487986">
      <w:pPr>
        <w:spacing w:after="0" w:line="240" w:lineRule="auto"/>
      </w:pPr>
      <w:r>
        <w:separator/>
      </w:r>
    </w:p>
  </w:footnote>
  <w:footnote w:type="continuationSeparator" w:id="0">
    <w:p w:rsidR="00F55927" w:rsidRDefault="00F55927" w:rsidP="00487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6034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55927" w:rsidRPr="00487986" w:rsidRDefault="00F55927">
        <w:pPr>
          <w:pStyle w:val="a5"/>
          <w:jc w:val="center"/>
          <w:rPr>
            <w:rFonts w:ascii="Times New Roman" w:hAnsi="Times New Roman" w:cs="Times New Roman"/>
          </w:rPr>
        </w:pPr>
        <w:r w:rsidRPr="00487986">
          <w:rPr>
            <w:rFonts w:ascii="Times New Roman" w:hAnsi="Times New Roman" w:cs="Times New Roman"/>
          </w:rPr>
          <w:fldChar w:fldCharType="begin"/>
        </w:r>
        <w:r w:rsidRPr="00487986">
          <w:rPr>
            <w:rFonts w:ascii="Times New Roman" w:hAnsi="Times New Roman" w:cs="Times New Roman"/>
          </w:rPr>
          <w:instrText>PAGE   \* MERGEFORMAT</w:instrText>
        </w:r>
        <w:r w:rsidRPr="00487986">
          <w:rPr>
            <w:rFonts w:ascii="Times New Roman" w:hAnsi="Times New Roman" w:cs="Times New Roman"/>
          </w:rPr>
          <w:fldChar w:fldCharType="separate"/>
        </w:r>
        <w:r w:rsidR="00211AFB">
          <w:rPr>
            <w:rFonts w:ascii="Times New Roman" w:hAnsi="Times New Roman" w:cs="Times New Roman"/>
            <w:noProof/>
          </w:rPr>
          <w:t>21</w:t>
        </w:r>
        <w:r w:rsidRPr="00487986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89"/>
    <w:rsid w:val="0001062A"/>
    <w:rsid w:val="00015E71"/>
    <w:rsid w:val="00041D52"/>
    <w:rsid w:val="00043351"/>
    <w:rsid w:val="0005449C"/>
    <w:rsid w:val="00054B1F"/>
    <w:rsid w:val="00054F5E"/>
    <w:rsid w:val="00076677"/>
    <w:rsid w:val="00081B1D"/>
    <w:rsid w:val="000974EF"/>
    <w:rsid w:val="000A2B11"/>
    <w:rsid w:val="000A2EF9"/>
    <w:rsid w:val="000B23F8"/>
    <w:rsid w:val="000B6AE9"/>
    <w:rsid w:val="000C2766"/>
    <w:rsid w:val="000E3ECE"/>
    <w:rsid w:val="000E4639"/>
    <w:rsid w:val="000E5436"/>
    <w:rsid w:val="000F7C5C"/>
    <w:rsid w:val="00104015"/>
    <w:rsid w:val="001108A6"/>
    <w:rsid w:val="0011533B"/>
    <w:rsid w:val="001203DB"/>
    <w:rsid w:val="00120500"/>
    <w:rsid w:val="00125659"/>
    <w:rsid w:val="00126993"/>
    <w:rsid w:val="001340F7"/>
    <w:rsid w:val="001401C4"/>
    <w:rsid w:val="00140D43"/>
    <w:rsid w:val="00176E39"/>
    <w:rsid w:val="001A2400"/>
    <w:rsid w:val="001A70B0"/>
    <w:rsid w:val="001B7790"/>
    <w:rsid w:val="001C00BB"/>
    <w:rsid w:val="001C72E2"/>
    <w:rsid w:val="001C7ED3"/>
    <w:rsid w:val="001D559E"/>
    <w:rsid w:val="00211AFB"/>
    <w:rsid w:val="00232809"/>
    <w:rsid w:val="0023778E"/>
    <w:rsid w:val="00242A68"/>
    <w:rsid w:val="00246CD0"/>
    <w:rsid w:val="002658CD"/>
    <w:rsid w:val="00270D58"/>
    <w:rsid w:val="0028235A"/>
    <w:rsid w:val="00284C99"/>
    <w:rsid w:val="002A283D"/>
    <w:rsid w:val="002A4216"/>
    <w:rsid w:val="002A6C19"/>
    <w:rsid w:val="002D301D"/>
    <w:rsid w:val="002D4C86"/>
    <w:rsid w:val="0030248B"/>
    <w:rsid w:val="00304503"/>
    <w:rsid w:val="00320DF3"/>
    <w:rsid w:val="00327F22"/>
    <w:rsid w:val="003309E3"/>
    <w:rsid w:val="0033699B"/>
    <w:rsid w:val="003453E6"/>
    <w:rsid w:val="00347313"/>
    <w:rsid w:val="00352888"/>
    <w:rsid w:val="00372207"/>
    <w:rsid w:val="003765A0"/>
    <w:rsid w:val="00377877"/>
    <w:rsid w:val="003928C0"/>
    <w:rsid w:val="00396D2F"/>
    <w:rsid w:val="003C3837"/>
    <w:rsid w:val="003D2784"/>
    <w:rsid w:val="003E2F31"/>
    <w:rsid w:val="003E4867"/>
    <w:rsid w:val="004016D1"/>
    <w:rsid w:val="004042F9"/>
    <w:rsid w:val="0041742C"/>
    <w:rsid w:val="00421160"/>
    <w:rsid w:val="00427C08"/>
    <w:rsid w:val="00446DA7"/>
    <w:rsid w:val="0046108D"/>
    <w:rsid w:val="004707E3"/>
    <w:rsid w:val="004710E7"/>
    <w:rsid w:val="0047299E"/>
    <w:rsid w:val="00487986"/>
    <w:rsid w:val="00490599"/>
    <w:rsid w:val="004963E4"/>
    <w:rsid w:val="004B0756"/>
    <w:rsid w:val="004B0DBE"/>
    <w:rsid w:val="004C4565"/>
    <w:rsid w:val="004C5449"/>
    <w:rsid w:val="004C73B3"/>
    <w:rsid w:val="004F06BF"/>
    <w:rsid w:val="0050061C"/>
    <w:rsid w:val="005120A9"/>
    <w:rsid w:val="00514C6A"/>
    <w:rsid w:val="00516281"/>
    <w:rsid w:val="005213D3"/>
    <w:rsid w:val="00552141"/>
    <w:rsid w:val="00554784"/>
    <w:rsid w:val="0056791B"/>
    <w:rsid w:val="00572C3F"/>
    <w:rsid w:val="00573F12"/>
    <w:rsid w:val="00584F81"/>
    <w:rsid w:val="005A0E15"/>
    <w:rsid w:val="005A19E6"/>
    <w:rsid w:val="005B18F5"/>
    <w:rsid w:val="005C50E8"/>
    <w:rsid w:val="005D2260"/>
    <w:rsid w:val="005D55A7"/>
    <w:rsid w:val="005F2818"/>
    <w:rsid w:val="005F3949"/>
    <w:rsid w:val="00600C8A"/>
    <w:rsid w:val="00602BAD"/>
    <w:rsid w:val="00603F72"/>
    <w:rsid w:val="00612546"/>
    <w:rsid w:val="00633AA6"/>
    <w:rsid w:val="006626AD"/>
    <w:rsid w:val="0066461D"/>
    <w:rsid w:val="00664FA8"/>
    <w:rsid w:val="00673CA6"/>
    <w:rsid w:val="00695D2C"/>
    <w:rsid w:val="006973D1"/>
    <w:rsid w:val="006B5707"/>
    <w:rsid w:val="006D53FB"/>
    <w:rsid w:val="006D7B68"/>
    <w:rsid w:val="00700A45"/>
    <w:rsid w:val="007125AD"/>
    <w:rsid w:val="007134A9"/>
    <w:rsid w:val="007144F2"/>
    <w:rsid w:val="007247D7"/>
    <w:rsid w:val="00725987"/>
    <w:rsid w:val="007372D1"/>
    <w:rsid w:val="00764DC8"/>
    <w:rsid w:val="00767E29"/>
    <w:rsid w:val="00792B47"/>
    <w:rsid w:val="007A4178"/>
    <w:rsid w:val="007B4B21"/>
    <w:rsid w:val="007D228B"/>
    <w:rsid w:val="007D48F7"/>
    <w:rsid w:val="007D676F"/>
    <w:rsid w:val="007E443E"/>
    <w:rsid w:val="007F2EAD"/>
    <w:rsid w:val="007F5948"/>
    <w:rsid w:val="00805F3C"/>
    <w:rsid w:val="00816182"/>
    <w:rsid w:val="00816CA7"/>
    <w:rsid w:val="00830F3E"/>
    <w:rsid w:val="0084310F"/>
    <w:rsid w:val="00846F81"/>
    <w:rsid w:val="00873E70"/>
    <w:rsid w:val="00881C8F"/>
    <w:rsid w:val="00885B26"/>
    <w:rsid w:val="008861F1"/>
    <w:rsid w:val="008A72A6"/>
    <w:rsid w:val="008B0D30"/>
    <w:rsid w:val="008C31A2"/>
    <w:rsid w:val="008C60D3"/>
    <w:rsid w:val="008C7E56"/>
    <w:rsid w:val="008E4589"/>
    <w:rsid w:val="008E687A"/>
    <w:rsid w:val="008F6AA0"/>
    <w:rsid w:val="00901027"/>
    <w:rsid w:val="00925DBB"/>
    <w:rsid w:val="00937763"/>
    <w:rsid w:val="00942633"/>
    <w:rsid w:val="00942F98"/>
    <w:rsid w:val="00947795"/>
    <w:rsid w:val="0094791B"/>
    <w:rsid w:val="00951906"/>
    <w:rsid w:val="0095543F"/>
    <w:rsid w:val="00974635"/>
    <w:rsid w:val="00981670"/>
    <w:rsid w:val="00982AA4"/>
    <w:rsid w:val="00983989"/>
    <w:rsid w:val="00983E86"/>
    <w:rsid w:val="009868D2"/>
    <w:rsid w:val="0099467D"/>
    <w:rsid w:val="00994CD6"/>
    <w:rsid w:val="009A5EBA"/>
    <w:rsid w:val="009A5FC0"/>
    <w:rsid w:val="009B613E"/>
    <w:rsid w:val="009D15E2"/>
    <w:rsid w:val="009D74F8"/>
    <w:rsid w:val="009E7757"/>
    <w:rsid w:val="00A07310"/>
    <w:rsid w:val="00A11A58"/>
    <w:rsid w:val="00A12DB9"/>
    <w:rsid w:val="00A317A4"/>
    <w:rsid w:val="00A37DD8"/>
    <w:rsid w:val="00A47870"/>
    <w:rsid w:val="00A520CA"/>
    <w:rsid w:val="00A626B3"/>
    <w:rsid w:val="00A771A6"/>
    <w:rsid w:val="00AC7014"/>
    <w:rsid w:val="00AD2011"/>
    <w:rsid w:val="00AD6634"/>
    <w:rsid w:val="00AE0D4A"/>
    <w:rsid w:val="00AF2725"/>
    <w:rsid w:val="00AF4B5E"/>
    <w:rsid w:val="00AF56D0"/>
    <w:rsid w:val="00AF68EE"/>
    <w:rsid w:val="00B050A0"/>
    <w:rsid w:val="00B059DD"/>
    <w:rsid w:val="00B21AA8"/>
    <w:rsid w:val="00B2253E"/>
    <w:rsid w:val="00B32E79"/>
    <w:rsid w:val="00B36794"/>
    <w:rsid w:val="00B43995"/>
    <w:rsid w:val="00B53708"/>
    <w:rsid w:val="00B56B09"/>
    <w:rsid w:val="00B767F1"/>
    <w:rsid w:val="00B76EF6"/>
    <w:rsid w:val="00B80A19"/>
    <w:rsid w:val="00B81662"/>
    <w:rsid w:val="00B828FA"/>
    <w:rsid w:val="00B878BD"/>
    <w:rsid w:val="00B9615E"/>
    <w:rsid w:val="00BA62F8"/>
    <w:rsid w:val="00BB3AD6"/>
    <w:rsid w:val="00BB6DD4"/>
    <w:rsid w:val="00BD5B4E"/>
    <w:rsid w:val="00BE3518"/>
    <w:rsid w:val="00C01A3A"/>
    <w:rsid w:val="00C10F1F"/>
    <w:rsid w:val="00C3053A"/>
    <w:rsid w:val="00C41AB7"/>
    <w:rsid w:val="00C70FBA"/>
    <w:rsid w:val="00C7129F"/>
    <w:rsid w:val="00C73C70"/>
    <w:rsid w:val="00C73D82"/>
    <w:rsid w:val="00C76DCA"/>
    <w:rsid w:val="00C818E6"/>
    <w:rsid w:val="00C83895"/>
    <w:rsid w:val="00C85D46"/>
    <w:rsid w:val="00CA6773"/>
    <w:rsid w:val="00CB13F7"/>
    <w:rsid w:val="00CB1DF7"/>
    <w:rsid w:val="00CB5A98"/>
    <w:rsid w:val="00CC07B0"/>
    <w:rsid w:val="00CD0432"/>
    <w:rsid w:val="00CD508F"/>
    <w:rsid w:val="00CE234D"/>
    <w:rsid w:val="00CE6310"/>
    <w:rsid w:val="00D1200C"/>
    <w:rsid w:val="00D32217"/>
    <w:rsid w:val="00D547F9"/>
    <w:rsid w:val="00D639CE"/>
    <w:rsid w:val="00D66D34"/>
    <w:rsid w:val="00D92277"/>
    <w:rsid w:val="00DA3810"/>
    <w:rsid w:val="00DC10EE"/>
    <w:rsid w:val="00DD17BD"/>
    <w:rsid w:val="00DD7B09"/>
    <w:rsid w:val="00DE4924"/>
    <w:rsid w:val="00DE7F21"/>
    <w:rsid w:val="00DF58D9"/>
    <w:rsid w:val="00E00E78"/>
    <w:rsid w:val="00E1761A"/>
    <w:rsid w:val="00E2124F"/>
    <w:rsid w:val="00E242CC"/>
    <w:rsid w:val="00E24B75"/>
    <w:rsid w:val="00E502CF"/>
    <w:rsid w:val="00E67061"/>
    <w:rsid w:val="00E8418D"/>
    <w:rsid w:val="00E87260"/>
    <w:rsid w:val="00E877F5"/>
    <w:rsid w:val="00E97487"/>
    <w:rsid w:val="00EA7D7C"/>
    <w:rsid w:val="00EB1BB1"/>
    <w:rsid w:val="00EC73ED"/>
    <w:rsid w:val="00EE0D7E"/>
    <w:rsid w:val="00EE3C5D"/>
    <w:rsid w:val="00EE3D5F"/>
    <w:rsid w:val="00F044B6"/>
    <w:rsid w:val="00F05DC8"/>
    <w:rsid w:val="00F11D4F"/>
    <w:rsid w:val="00F24BF9"/>
    <w:rsid w:val="00F25CA2"/>
    <w:rsid w:val="00F520C6"/>
    <w:rsid w:val="00F55927"/>
    <w:rsid w:val="00F55AFC"/>
    <w:rsid w:val="00F575A1"/>
    <w:rsid w:val="00F650A6"/>
    <w:rsid w:val="00F745BC"/>
    <w:rsid w:val="00F968F3"/>
    <w:rsid w:val="00FC2218"/>
    <w:rsid w:val="00FD13CA"/>
    <w:rsid w:val="00FD4CB3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D5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639C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7986"/>
  </w:style>
  <w:style w:type="paragraph" w:styleId="a7">
    <w:name w:val="footer"/>
    <w:basedOn w:val="a"/>
    <w:link w:val="a8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7986"/>
  </w:style>
  <w:style w:type="paragraph" w:styleId="a9">
    <w:name w:val="Balloon Text"/>
    <w:basedOn w:val="a"/>
    <w:link w:val="aa"/>
    <w:uiPriority w:val="99"/>
    <w:semiHidden/>
    <w:unhideWhenUsed/>
    <w:rsid w:val="005D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22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C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D5B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D639CE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7986"/>
  </w:style>
  <w:style w:type="paragraph" w:styleId="a7">
    <w:name w:val="footer"/>
    <w:basedOn w:val="a"/>
    <w:link w:val="a8"/>
    <w:uiPriority w:val="99"/>
    <w:unhideWhenUsed/>
    <w:rsid w:val="00487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7986"/>
  </w:style>
  <w:style w:type="paragraph" w:styleId="a9">
    <w:name w:val="Balloon Text"/>
    <w:basedOn w:val="a"/>
    <w:link w:val="aa"/>
    <w:uiPriority w:val="99"/>
    <w:semiHidden/>
    <w:unhideWhenUsed/>
    <w:rsid w:val="005D2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22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90758DC6BC448841B7B9DE3E38131FCF8370E47678DE8611FE35D3F9CFC12EEBFE227CB294A3373CAAC71D56FC3C1F294696940325113EA0636183Bb2B0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170A1-7263-46A4-9EE3-A0A76C230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21</Pages>
  <Words>4821</Words>
  <Characters>27480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Строева</dc:creator>
  <cp:lastModifiedBy>Аникина Инна Михайловна</cp:lastModifiedBy>
  <cp:revision>29</cp:revision>
  <cp:lastPrinted>2022-03-31T09:32:00Z</cp:lastPrinted>
  <dcterms:created xsi:type="dcterms:W3CDTF">2022-03-31T08:04:00Z</dcterms:created>
  <dcterms:modified xsi:type="dcterms:W3CDTF">2022-04-14T05:55:00Z</dcterms:modified>
</cp:coreProperties>
</file>