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B1" w:rsidRPr="00A3336B" w:rsidRDefault="00E041B1" w:rsidP="00E041B1">
      <w:pPr>
        <w:widowControl w:val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Доклад</w:t>
      </w:r>
    </w:p>
    <w:p w:rsidR="00E041B1" w:rsidRPr="00E041B1" w:rsidRDefault="00E041B1" w:rsidP="00E041B1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E041B1">
        <w:rPr>
          <w:rFonts w:eastAsia="Calibri"/>
          <w:b/>
          <w:szCs w:val="28"/>
          <w:lang w:eastAsia="en-US"/>
        </w:rPr>
        <w:t xml:space="preserve">исполняющего обязанности министра финансов области </w:t>
      </w:r>
      <w:proofErr w:type="spellStart"/>
      <w:r w:rsidRPr="00E041B1">
        <w:rPr>
          <w:rFonts w:eastAsia="Calibri"/>
          <w:b/>
          <w:szCs w:val="28"/>
          <w:lang w:eastAsia="en-US"/>
        </w:rPr>
        <w:t>Бегининой</w:t>
      </w:r>
      <w:proofErr w:type="spellEnd"/>
      <w:r w:rsidRPr="00E041B1">
        <w:rPr>
          <w:rFonts w:eastAsia="Calibri"/>
          <w:b/>
          <w:szCs w:val="28"/>
          <w:lang w:eastAsia="en-US"/>
        </w:rPr>
        <w:t xml:space="preserve"> И.С. </w:t>
      </w:r>
      <w:r w:rsidRPr="00A3336B">
        <w:rPr>
          <w:rFonts w:eastAsia="Calibri"/>
          <w:b/>
          <w:szCs w:val="28"/>
          <w:lang w:eastAsia="en-US"/>
        </w:rPr>
        <w:t xml:space="preserve">на </w:t>
      </w:r>
      <w:r>
        <w:rPr>
          <w:rFonts w:eastAsia="Calibri"/>
          <w:b/>
          <w:szCs w:val="28"/>
          <w:lang w:eastAsia="en-US"/>
        </w:rPr>
        <w:t>публичных слушаниях</w:t>
      </w:r>
      <w:r w:rsidRPr="00A3336B">
        <w:rPr>
          <w:rFonts w:eastAsia="Calibri"/>
          <w:b/>
          <w:szCs w:val="28"/>
          <w:lang w:eastAsia="en-US"/>
        </w:rPr>
        <w:t xml:space="preserve">  </w:t>
      </w:r>
      <w:r>
        <w:rPr>
          <w:rFonts w:eastAsia="Calibri"/>
          <w:b/>
          <w:szCs w:val="28"/>
          <w:lang w:eastAsia="en-US"/>
        </w:rPr>
        <w:t>«</w:t>
      </w:r>
      <w:r w:rsidRPr="00A3336B">
        <w:rPr>
          <w:b/>
          <w:bCs/>
          <w:szCs w:val="28"/>
          <w:lang w:eastAsia="ar-SA"/>
        </w:rPr>
        <w:t xml:space="preserve">О проекте закона Саратовской области </w:t>
      </w:r>
    </w:p>
    <w:p w:rsidR="00E041B1" w:rsidRDefault="00E041B1" w:rsidP="00E041B1">
      <w:pPr>
        <w:widowControl w:val="0"/>
        <w:jc w:val="center"/>
        <w:rPr>
          <w:b/>
          <w:bCs/>
          <w:szCs w:val="28"/>
          <w:lang w:eastAsia="ar-SA"/>
        </w:rPr>
      </w:pPr>
      <w:r w:rsidRPr="00A3336B">
        <w:rPr>
          <w:b/>
          <w:bCs/>
          <w:szCs w:val="28"/>
          <w:lang w:eastAsia="ar-SA"/>
        </w:rPr>
        <w:t>«Об областном бюджете на 202</w:t>
      </w:r>
      <w:r>
        <w:rPr>
          <w:b/>
          <w:bCs/>
          <w:szCs w:val="28"/>
          <w:lang w:eastAsia="ar-SA"/>
        </w:rPr>
        <w:t>2</w:t>
      </w:r>
      <w:r w:rsidRPr="00A3336B">
        <w:rPr>
          <w:b/>
          <w:bCs/>
          <w:szCs w:val="28"/>
          <w:lang w:eastAsia="ar-SA"/>
        </w:rPr>
        <w:t xml:space="preserve"> год и плановый период </w:t>
      </w:r>
    </w:p>
    <w:p w:rsidR="00E041B1" w:rsidRPr="00A3336B" w:rsidRDefault="00E041B1" w:rsidP="00E041B1">
      <w:pPr>
        <w:widowControl w:val="0"/>
        <w:jc w:val="center"/>
        <w:rPr>
          <w:b/>
          <w:szCs w:val="28"/>
          <w:lang w:eastAsia="ar-SA"/>
        </w:rPr>
      </w:pPr>
      <w:r w:rsidRPr="00A3336B">
        <w:rPr>
          <w:b/>
          <w:bCs/>
          <w:szCs w:val="28"/>
          <w:lang w:eastAsia="ar-SA"/>
        </w:rPr>
        <w:t>202</w:t>
      </w:r>
      <w:r>
        <w:rPr>
          <w:b/>
          <w:bCs/>
          <w:szCs w:val="28"/>
          <w:lang w:eastAsia="ar-SA"/>
        </w:rPr>
        <w:t>3</w:t>
      </w:r>
      <w:r w:rsidRPr="00A3336B">
        <w:rPr>
          <w:b/>
          <w:bCs/>
          <w:szCs w:val="28"/>
          <w:lang w:eastAsia="ar-SA"/>
        </w:rPr>
        <w:t xml:space="preserve"> и 202</w:t>
      </w:r>
      <w:r>
        <w:rPr>
          <w:b/>
          <w:bCs/>
          <w:szCs w:val="28"/>
          <w:lang w:eastAsia="ar-SA"/>
        </w:rPr>
        <w:t>4</w:t>
      </w:r>
      <w:r w:rsidRPr="00A3336B">
        <w:rPr>
          <w:b/>
          <w:bCs/>
          <w:szCs w:val="28"/>
          <w:lang w:eastAsia="ar-SA"/>
        </w:rPr>
        <w:t xml:space="preserve"> годов</w:t>
      </w:r>
      <w:r w:rsidRPr="00A3336B">
        <w:rPr>
          <w:b/>
          <w:szCs w:val="28"/>
          <w:lang w:eastAsia="ar-SA"/>
        </w:rPr>
        <w:t xml:space="preserve">» </w:t>
      </w:r>
    </w:p>
    <w:p w:rsidR="00E041B1" w:rsidRDefault="00E041B1" w:rsidP="0010347D">
      <w:pPr>
        <w:ind w:left="5103"/>
        <w:rPr>
          <w:b/>
          <w:i/>
          <w:sz w:val="24"/>
        </w:rPr>
      </w:pPr>
    </w:p>
    <w:p w:rsidR="0010347D" w:rsidRPr="00CF7838" w:rsidRDefault="0010347D" w:rsidP="0010347D">
      <w:pPr>
        <w:jc w:val="center"/>
        <w:rPr>
          <w:b/>
          <w:szCs w:val="28"/>
        </w:rPr>
      </w:pPr>
    </w:p>
    <w:p w:rsidR="0010347D" w:rsidRDefault="0010347D" w:rsidP="0010347D">
      <w:pPr>
        <w:jc w:val="center"/>
        <w:rPr>
          <w:b/>
          <w:szCs w:val="28"/>
        </w:rPr>
      </w:pPr>
      <w:r w:rsidRPr="00CF7838">
        <w:rPr>
          <w:b/>
          <w:szCs w:val="28"/>
        </w:rPr>
        <w:t>Уважаемые участники слушаний!</w:t>
      </w:r>
    </w:p>
    <w:p w:rsidR="00E041B1" w:rsidRPr="00CF7838" w:rsidRDefault="00E041B1" w:rsidP="0010347D">
      <w:pPr>
        <w:jc w:val="center"/>
        <w:rPr>
          <w:b/>
          <w:szCs w:val="28"/>
        </w:rPr>
      </w:pP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proofErr w:type="gramStart"/>
      <w:r w:rsidRPr="003E48A1">
        <w:rPr>
          <w:rFonts w:eastAsiaTheme="minorEastAsia" w:cstheme="minorBidi"/>
          <w:sz w:val="28"/>
          <w:szCs w:val="28"/>
        </w:rPr>
        <w:t>Представленный проект закона Саратовской области «Об областном бюджете на 2022 год и плановый период 2023 и 2024 годов» базируется на данных прогноза социально-экономического развития области, основных направлениях налоговой и бюджетной политики на среднесрочный период, итогах исполнения областного и местных бюджетов за 2020 год и текущих итогах 2021 года, а также показателях действующих государственных программ региона.</w:t>
      </w:r>
      <w:proofErr w:type="gramEnd"/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>Формирование бюджетных параметров на 2022-2024 годы осуществлялось в условиях постепенного восстановления экономики. Сдерживающим фактором продолжает оставаться пандемия и связанные с ней ограничительные меры.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>Безусловным приоритетом региональной бюджетной политики остается исполнение социальных обязательств и достижение национальных целей развития, сформулированных Президентом России. Особую значимость приобретает задача обеспечения сбалансированности и устойчивости бюджетной системы.</w:t>
      </w:r>
    </w:p>
    <w:p w:rsidR="00E041B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При прогнозировании показателей по налоговым и неналоговым источникам доходов учтен ряд новаций </w:t>
      </w:r>
      <w:r w:rsidRPr="00F90C15">
        <w:rPr>
          <w:rFonts w:eastAsiaTheme="minorEastAsia" w:cstheme="minorBidi"/>
          <w:sz w:val="28"/>
          <w:szCs w:val="28"/>
        </w:rPr>
        <w:t>в налоговой сфере</w:t>
      </w:r>
      <w:r>
        <w:rPr>
          <w:rFonts w:eastAsiaTheme="minorEastAsia" w:cstheme="minorBidi"/>
          <w:sz w:val="28"/>
          <w:szCs w:val="28"/>
        </w:rPr>
        <w:t>:</w:t>
      </w:r>
    </w:p>
    <w:p w:rsidR="00E041B1" w:rsidRPr="001E3B76" w:rsidRDefault="00E041B1" w:rsidP="00E041B1">
      <w:pPr>
        <w:ind w:firstLine="697"/>
        <w:jc w:val="both"/>
        <w:rPr>
          <w:rFonts w:eastAsiaTheme="minorEastAsia"/>
          <w:szCs w:val="28"/>
        </w:rPr>
      </w:pPr>
      <w:r w:rsidRPr="001E3B76">
        <w:rPr>
          <w:rFonts w:eastAsiaTheme="minorEastAsia"/>
          <w:szCs w:val="28"/>
        </w:rPr>
        <w:t>по налогу на прибыль – продление на весь трехлетний период действия 50-процентного ограничения по переносу убытков</w:t>
      </w:r>
      <w:r>
        <w:rPr>
          <w:rFonts w:eastAsiaTheme="minorEastAsia"/>
          <w:szCs w:val="28"/>
        </w:rPr>
        <w:t>;</w:t>
      </w:r>
    </w:p>
    <w:p w:rsidR="00E041B1" w:rsidRDefault="00E041B1" w:rsidP="00E041B1">
      <w:pPr>
        <w:ind w:firstLine="697"/>
        <w:jc w:val="both"/>
        <w:rPr>
          <w:rFonts w:eastAsiaTheme="minorEastAsia"/>
          <w:szCs w:val="28"/>
        </w:rPr>
      </w:pPr>
      <w:r w:rsidRPr="001E3B76">
        <w:rPr>
          <w:rFonts w:eastAsiaTheme="minorEastAsia"/>
          <w:szCs w:val="28"/>
        </w:rPr>
        <w:t xml:space="preserve">по налогу на доходы физических лиц – расширение оснований </w:t>
      </w:r>
      <w:r w:rsidRPr="004B798B">
        <w:rPr>
          <w:rFonts w:eastAsiaTheme="minorEastAsia"/>
          <w:szCs w:val="28"/>
        </w:rPr>
        <w:t>для социальных и имущественных вычетов</w:t>
      </w:r>
      <w:r>
        <w:rPr>
          <w:rFonts w:eastAsiaTheme="minorEastAsia"/>
          <w:szCs w:val="28"/>
        </w:rPr>
        <w:t>;</w:t>
      </w:r>
    </w:p>
    <w:p w:rsidR="00E041B1" w:rsidRDefault="00E041B1" w:rsidP="00E041B1">
      <w:pPr>
        <w:ind w:firstLine="697"/>
        <w:jc w:val="both"/>
        <w:rPr>
          <w:rFonts w:eastAsiaTheme="minorEastAsia"/>
          <w:szCs w:val="28"/>
        </w:rPr>
      </w:pPr>
      <w:r w:rsidRPr="004B798B">
        <w:rPr>
          <w:rFonts w:eastAsiaTheme="minorEastAsia"/>
          <w:szCs w:val="28"/>
        </w:rPr>
        <w:t>по акцизам – индексаци</w:t>
      </w:r>
      <w:r>
        <w:rPr>
          <w:rFonts w:eastAsiaTheme="minorEastAsia"/>
          <w:szCs w:val="28"/>
        </w:rPr>
        <w:t>я</w:t>
      </w:r>
      <w:r w:rsidRPr="004B798B">
        <w:rPr>
          <w:rFonts w:eastAsiaTheme="minorEastAsia"/>
          <w:szCs w:val="28"/>
        </w:rPr>
        <w:t xml:space="preserve"> ставок на 4% по подакцизным товарам, а в части акцизов на нефтепродукты – сохранение на уровне текущего года  норматива зачисления в консолидированные бюджеты субъектов</w:t>
      </w:r>
      <w:r>
        <w:rPr>
          <w:rFonts w:eastAsiaTheme="minorEastAsia"/>
          <w:szCs w:val="28"/>
        </w:rPr>
        <w:t>;</w:t>
      </w:r>
    </w:p>
    <w:p w:rsidR="00E041B1" w:rsidRDefault="00E041B1" w:rsidP="00E041B1">
      <w:pPr>
        <w:ind w:firstLine="697"/>
        <w:jc w:val="both"/>
        <w:rPr>
          <w:rFonts w:eastAsiaTheme="minorEastAsia"/>
          <w:szCs w:val="28"/>
        </w:rPr>
      </w:pPr>
      <w:r w:rsidRPr="004B798B">
        <w:rPr>
          <w:rFonts w:eastAsiaTheme="minorEastAsia"/>
          <w:szCs w:val="28"/>
        </w:rPr>
        <w:t xml:space="preserve">по упрощенной системе налогообложения – уменьшение налоговой базы на затраты, связанные с профилактикой и лечением </w:t>
      </w:r>
      <w:proofErr w:type="spellStart"/>
      <w:r w:rsidRPr="004B798B">
        <w:rPr>
          <w:rFonts w:eastAsiaTheme="minorEastAsia"/>
          <w:szCs w:val="28"/>
        </w:rPr>
        <w:t>коронавирусной</w:t>
      </w:r>
      <w:proofErr w:type="spellEnd"/>
      <w:r w:rsidRPr="004B798B">
        <w:rPr>
          <w:rFonts w:eastAsiaTheme="minorEastAsia"/>
          <w:szCs w:val="28"/>
        </w:rPr>
        <w:t xml:space="preserve"> инфекции, а также запуск нового </w:t>
      </w:r>
      <w:proofErr w:type="spellStart"/>
      <w:r w:rsidRPr="004B798B">
        <w:rPr>
          <w:rFonts w:eastAsiaTheme="minorEastAsia"/>
          <w:szCs w:val="28"/>
        </w:rPr>
        <w:t>спецрежима</w:t>
      </w:r>
      <w:proofErr w:type="spellEnd"/>
      <w:r w:rsidRPr="004B798B">
        <w:rPr>
          <w:rFonts w:eastAsiaTheme="minorEastAsia"/>
          <w:szCs w:val="28"/>
        </w:rPr>
        <w:t xml:space="preserve"> </w:t>
      </w:r>
      <w:proofErr w:type="spellStart"/>
      <w:r w:rsidRPr="004B798B">
        <w:rPr>
          <w:rFonts w:eastAsiaTheme="minorEastAsia"/>
          <w:szCs w:val="28"/>
        </w:rPr>
        <w:t>УСН</w:t>
      </w:r>
      <w:proofErr w:type="gramStart"/>
      <w:r w:rsidRPr="004B798B">
        <w:rPr>
          <w:rFonts w:eastAsiaTheme="minorEastAsia"/>
          <w:szCs w:val="28"/>
        </w:rPr>
        <w:t>.о</w:t>
      </w:r>
      <w:proofErr w:type="gramEnd"/>
      <w:r w:rsidRPr="004B798B">
        <w:rPr>
          <w:rFonts w:eastAsiaTheme="minorEastAsia"/>
          <w:szCs w:val="28"/>
        </w:rPr>
        <w:t>нлайн</w:t>
      </w:r>
      <w:proofErr w:type="spellEnd"/>
      <w:r w:rsidRPr="004B798B">
        <w:rPr>
          <w:rFonts w:eastAsiaTheme="minorEastAsia"/>
          <w:szCs w:val="28"/>
        </w:rPr>
        <w:t xml:space="preserve"> для </w:t>
      </w:r>
      <w:proofErr w:type="spellStart"/>
      <w:r w:rsidRPr="004B798B">
        <w:rPr>
          <w:rFonts w:eastAsiaTheme="minorEastAsia"/>
          <w:szCs w:val="28"/>
        </w:rPr>
        <w:t>микропредприятий</w:t>
      </w:r>
      <w:proofErr w:type="spellEnd"/>
      <w:r w:rsidRPr="004B798B">
        <w:rPr>
          <w:rFonts w:eastAsiaTheme="minorEastAsia"/>
          <w:szCs w:val="28"/>
        </w:rPr>
        <w:t xml:space="preserve"> с численностью сотрудников до 5 человек</w:t>
      </w:r>
      <w:r>
        <w:rPr>
          <w:rFonts w:eastAsiaTheme="minorEastAsia"/>
          <w:szCs w:val="28"/>
        </w:rPr>
        <w:t>.</w:t>
      </w:r>
    </w:p>
    <w:p w:rsidR="00E041B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1E3B76">
        <w:rPr>
          <w:rFonts w:eastAsiaTheme="minorEastAsia" w:cstheme="minorBidi"/>
          <w:sz w:val="28"/>
          <w:szCs w:val="28"/>
        </w:rPr>
        <w:t xml:space="preserve">На региональном уровне </w:t>
      </w:r>
      <w:r w:rsidRPr="004B798B">
        <w:rPr>
          <w:rFonts w:eastAsiaTheme="minorEastAsia" w:cstheme="minorBidi"/>
          <w:sz w:val="28"/>
          <w:szCs w:val="28"/>
        </w:rPr>
        <w:t>изменения направлены на стимулирование развития малого предпринимательства, инвестиционной деятельности, создание привлекательных условий для ведения бизнеса на территориях опережающего социально-экономического развития и особой экономической зоны.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Исходя из показателей прогноза социально-экономического развития области, с учетом вступающих в силу в планируемом периоде изменений </w:t>
      </w:r>
      <w:r w:rsidRPr="003E48A1">
        <w:rPr>
          <w:rFonts w:eastAsiaTheme="minorEastAsia" w:cstheme="minorBidi"/>
          <w:sz w:val="28"/>
          <w:szCs w:val="28"/>
        </w:rPr>
        <w:lastRenderedPageBreak/>
        <w:t>налогового и бюджетного законодательства налоговые и иные обязательные доходы областного бюджета прогнозируются: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- на 2022 год в объеме 79,0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рублей, 109,1% к уточненным бюджетным назначениям текущего года;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- 2023 год – 83,7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рублей, 105,9% к 2022 году;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- 2024 год – 88,3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рублей, 105,6% к 2023 году.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Безвозмездные поступления в областной бюджет учтены на данном этапе только в части дотаций из федерального бюджета на уровне первоначальных назначений 2021 года – 11,8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рублей. Целевые федеральные трансферты </w:t>
      </w:r>
      <w:proofErr w:type="gramStart"/>
      <w:r w:rsidRPr="003E48A1">
        <w:rPr>
          <w:rFonts w:eastAsiaTheme="minorEastAsia" w:cstheme="minorBidi"/>
          <w:sz w:val="28"/>
          <w:szCs w:val="28"/>
        </w:rPr>
        <w:t>в связи с отсутствием на момент формирования проектировок их распределения между регионами Российской Федерации в бюджет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не включены, что отразилось на расходных показателях бюджета.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На исполнение расходных обязательств области без учета целевых федеральных средств в очередном году планируется направить 98,9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 Из общего объема 68,9 млрд рублей, или 70%, приходится на обеспечение функционирования отраслей социальной сферы.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>Социальные выплаты рассчитаны с ежегодной индексацией с 1 октября в 2022-2024 годах на прогнозный уровень инфляции, а также с учетом роста тарифов на оплату жилого помещения и коммунальных услуг, платежи на обязательное медицинское страхование неработающего населения – в соответствии с федеральным нормативом.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По предварительной оценке, совокупный объем публичных обязательств за счет средств областного и федерального бюджетов составит в 2022 году 21,2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>Особое внимание будет уделено вопросам финансового обеспечения таких социально значимых направлений, как поддержка семей с детьми, обеспечение жилыми помещениями отдельных льготных категорий граждан, лекарственное обеспечение, развитие сельских территорий.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На весь плановый период сохранены на уровне, установленном с 1 августа 2021 года, повышенные целевые ориентиры по заработной плате отдельных категорий работников бюджетной сферы согласно Указам Президента РФ 2012 года. Дополнительные расходы областного бюджета на эти цели составят в 2022 году 2,7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Сохранена финансовая помощь местным бюджетам на обеспечение достигнутого в рамках Указов повышения оплаты труда отдельных категорий работников муниципальных учреждений – 1,3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 в 2022 году.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Областной дорожный фонд за счет областных средств на 2022 год составит 10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рублей. Предусмотрены субсидии бюджетам сельских поселений в сумме 1,6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 на ремонт и содержание дорог внутри сельских населенных пунктов. Средства запланированы из расчета 3,0 тыс. рублей на одного жителя.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На реализацию программы поддержки местных инициатив с предоставлением на конкурсной основе субсидий из областного бюджета предусмотрено ежегодно по 120 </w:t>
      </w:r>
      <w:proofErr w:type="gramStart"/>
      <w:r w:rsidRPr="003E48A1">
        <w:rPr>
          <w:rFonts w:eastAsiaTheme="minorEastAsia" w:cstheme="minorBidi"/>
          <w:sz w:val="28"/>
          <w:szCs w:val="28"/>
        </w:rPr>
        <w:t>млн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рублей. 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lastRenderedPageBreak/>
        <w:t xml:space="preserve">Суммарные ассигнования по межбюджетным трансфертам местным бюджетам на 2022 год и плановый период без учета целевых федеральных средств составят 31,6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рублей.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Запланировано предоставление в 2022 году муниципальным образованиям бюджетных кредитов в сумме 1,1 </w:t>
      </w:r>
      <w:proofErr w:type="gramStart"/>
      <w:r w:rsidRPr="003E48A1">
        <w:rPr>
          <w:rFonts w:eastAsiaTheme="minorEastAsia" w:cstheme="minorBidi"/>
          <w:sz w:val="28"/>
          <w:szCs w:val="28"/>
        </w:rPr>
        <w:t>млрд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рублей для покрытия возникающих в течение финансового года временных кассовых разрывов и частичного покрытия дефицитов местных бюджетов. Плата за пользование бюджетными кредитами не увеличится и составит 0,1%. </w:t>
      </w:r>
    </w:p>
    <w:p w:rsidR="00E041B1" w:rsidRPr="003E48A1" w:rsidRDefault="00E041B1" w:rsidP="00E041B1">
      <w:pPr>
        <w:pStyle w:val="af"/>
        <w:ind w:left="0" w:firstLine="709"/>
        <w:jc w:val="both"/>
        <w:rPr>
          <w:rFonts w:eastAsiaTheme="minorEastAsia" w:cstheme="minorBidi"/>
          <w:sz w:val="28"/>
          <w:szCs w:val="28"/>
        </w:rPr>
      </w:pPr>
      <w:r w:rsidRPr="003E48A1">
        <w:rPr>
          <w:rFonts w:eastAsiaTheme="minorEastAsia" w:cstheme="minorBidi"/>
          <w:sz w:val="28"/>
          <w:szCs w:val="28"/>
        </w:rPr>
        <w:t xml:space="preserve">Прогнозируемый размер дефицита, объем долговых обязательств и расходов на обслуживание долга в областном бюджете </w:t>
      </w:r>
      <w:proofErr w:type="gramStart"/>
      <w:r w:rsidRPr="003E48A1">
        <w:rPr>
          <w:rFonts w:eastAsiaTheme="minorEastAsia" w:cstheme="minorBidi"/>
          <w:sz w:val="28"/>
          <w:szCs w:val="28"/>
        </w:rPr>
        <w:t>предусмотрены</w:t>
      </w:r>
      <w:proofErr w:type="gramEnd"/>
      <w:r w:rsidRPr="003E48A1">
        <w:rPr>
          <w:rFonts w:eastAsiaTheme="minorEastAsia" w:cstheme="minorBidi"/>
          <w:sz w:val="28"/>
          <w:szCs w:val="28"/>
        </w:rPr>
        <w:t xml:space="preserve"> в пределах, установленных бюджетным законодательством. В предстоящем периоде будет продолжена работа по оптимизации долгового портфеля в целях сокращения долговой нагрузки на бюджет.</w:t>
      </w:r>
    </w:p>
    <w:p w:rsidR="0010347D" w:rsidRPr="00CF7838" w:rsidRDefault="0010347D" w:rsidP="00B332D5">
      <w:pPr>
        <w:pStyle w:val="a3"/>
        <w:spacing w:after="0"/>
        <w:ind w:left="0" w:firstLine="709"/>
        <w:jc w:val="both"/>
        <w:rPr>
          <w:b/>
          <w:szCs w:val="28"/>
          <w:highlight w:val="yellow"/>
        </w:rPr>
      </w:pPr>
      <w:bookmarkStart w:id="0" w:name="_GoBack"/>
      <w:bookmarkEnd w:id="0"/>
    </w:p>
    <w:sectPr w:rsidR="0010347D" w:rsidRPr="00CF7838" w:rsidSect="0079781C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025" w:rsidRDefault="00250025" w:rsidP="00BA75E3">
      <w:r>
        <w:separator/>
      </w:r>
    </w:p>
  </w:endnote>
  <w:endnote w:type="continuationSeparator" w:id="0">
    <w:p w:rsidR="00250025" w:rsidRDefault="00250025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025" w:rsidRDefault="00250025" w:rsidP="00BA75E3">
      <w:r>
        <w:separator/>
      </w:r>
    </w:p>
  </w:footnote>
  <w:footnote w:type="continuationSeparator" w:id="0">
    <w:p w:rsidR="00250025" w:rsidRDefault="00250025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1753888157"/>
      <w:docPartObj>
        <w:docPartGallery w:val="Page Numbers (Top of Page)"/>
        <w:docPartUnique/>
      </w:docPartObj>
    </w:sdtPr>
    <w:sdtEndPr/>
    <w:sdtContent>
      <w:p w:rsidR="00250025" w:rsidRPr="00BA75E3" w:rsidRDefault="00250025">
        <w:pPr>
          <w:pStyle w:val="a5"/>
          <w:jc w:val="right"/>
          <w:rPr>
            <w:sz w:val="24"/>
          </w:rPr>
        </w:pPr>
        <w:r w:rsidRPr="00BA75E3">
          <w:rPr>
            <w:sz w:val="24"/>
          </w:rPr>
          <w:fldChar w:fldCharType="begin"/>
        </w:r>
        <w:r w:rsidRPr="00BA75E3">
          <w:rPr>
            <w:sz w:val="24"/>
          </w:rPr>
          <w:instrText>PAGE   \* MERGEFORMAT</w:instrText>
        </w:r>
        <w:r w:rsidRPr="00BA75E3">
          <w:rPr>
            <w:sz w:val="24"/>
          </w:rPr>
          <w:fldChar w:fldCharType="separate"/>
        </w:r>
        <w:r w:rsidR="00E041B1">
          <w:rPr>
            <w:noProof/>
            <w:sz w:val="24"/>
          </w:rPr>
          <w:t>3</w:t>
        </w:r>
        <w:r w:rsidRPr="00BA75E3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1CAD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37C1"/>
    <w:rsid w:val="00087277"/>
    <w:rsid w:val="00094B01"/>
    <w:rsid w:val="000956B7"/>
    <w:rsid w:val="00095F75"/>
    <w:rsid w:val="00096A76"/>
    <w:rsid w:val="0009703A"/>
    <w:rsid w:val="000A2546"/>
    <w:rsid w:val="000A2AF7"/>
    <w:rsid w:val="000A67EE"/>
    <w:rsid w:val="000B009D"/>
    <w:rsid w:val="000B5FCA"/>
    <w:rsid w:val="000B6B19"/>
    <w:rsid w:val="000C1433"/>
    <w:rsid w:val="000D672E"/>
    <w:rsid w:val="000D6B3F"/>
    <w:rsid w:val="000D71A0"/>
    <w:rsid w:val="000E0266"/>
    <w:rsid w:val="000E0352"/>
    <w:rsid w:val="000E162C"/>
    <w:rsid w:val="0010057C"/>
    <w:rsid w:val="00101CA0"/>
    <w:rsid w:val="0010347D"/>
    <w:rsid w:val="00104FB4"/>
    <w:rsid w:val="00107233"/>
    <w:rsid w:val="001139D3"/>
    <w:rsid w:val="00116BD1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50025"/>
    <w:rsid w:val="0026355F"/>
    <w:rsid w:val="00264FB8"/>
    <w:rsid w:val="00272B3B"/>
    <w:rsid w:val="002750AE"/>
    <w:rsid w:val="00276174"/>
    <w:rsid w:val="00284E2F"/>
    <w:rsid w:val="00285F02"/>
    <w:rsid w:val="00286210"/>
    <w:rsid w:val="00293367"/>
    <w:rsid w:val="002A3098"/>
    <w:rsid w:val="002B2677"/>
    <w:rsid w:val="002C1FC5"/>
    <w:rsid w:val="002C38A9"/>
    <w:rsid w:val="002C4975"/>
    <w:rsid w:val="002C55DC"/>
    <w:rsid w:val="002E43B9"/>
    <w:rsid w:val="00304DA5"/>
    <w:rsid w:val="00305292"/>
    <w:rsid w:val="00307285"/>
    <w:rsid w:val="00315E61"/>
    <w:rsid w:val="00321F8E"/>
    <w:rsid w:val="00323C64"/>
    <w:rsid w:val="00323CB6"/>
    <w:rsid w:val="003274B2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211D"/>
    <w:rsid w:val="00383766"/>
    <w:rsid w:val="00391998"/>
    <w:rsid w:val="00395FF4"/>
    <w:rsid w:val="00396DE2"/>
    <w:rsid w:val="003A6179"/>
    <w:rsid w:val="003B5751"/>
    <w:rsid w:val="003D44FE"/>
    <w:rsid w:val="003D74B2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41650"/>
    <w:rsid w:val="004654A3"/>
    <w:rsid w:val="00467C38"/>
    <w:rsid w:val="00471327"/>
    <w:rsid w:val="004751B9"/>
    <w:rsid w:val="00487287"/>
    <w:rsid w:val="00487412"/>
    <w:rsid w:val="00490D61"/>
    <w:rsid w:val="00496067"/>
    <w:rsid w:val="004A1C6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38A6"/>
    <w:rsid w:val="00506B4C"/>
    <w:rsid w:val="00507695"/>
    <w:rsid w:val="00514D4E"/>
    <w:rsid w:val="005163BA"/>
    <w:rsid w:val="005267D2"/>
    <w:rsid w:val="005339B0"/>
    <w:rsid w:val="00542813"/>
    <w:rsid w:val="00544E51"/>
    <w:rsid w:val="00550741"/>
    <w:rsid w:val="00561952"/>
    <w:rsid w:val="00573FE5"/>
    <w:rsid w:val="00590870"/>
    <w:rsid w:val="005A1E45"/>
    <w:rsid w:val="005A3DD1"/>
    <w:rsid w:val="005A468B"/>
    <w:rsid w:val="005B4A6F"/>
    <w:rsid w:val="005D3F5B"/>
    <w:rsid w:val="005D4935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661C2"/>
    <w:rsid w:val="00667BA1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7008CB"/>
    <w:rsid w:val="00707F13"/>
    <w:rsid w:val="007137CE"/>
    <w:rsid w:val="00715C51"/>
    <w:rsid w:val="007218A3"/>
    <w:rsid w:val="00724688"/>
    <w:rsid w:val="0074737F"/>
    <w:rsid w:val="00757631"/>
    <w:rsid w:val="00761F2C"/>
    <w:rsid w:val="00763472"/>
    <w:rsid w:val="007635FC"/>
    <w:rsid w:val="00766BC3"/>
    <w:rsid w:val="00767B24"/>
    <w:rsid w:val="007708F7"/>
    <w:rsid w:val="007816AE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E6709"/>
    <w:rsid w:val="007F2A68"/>
    <w:rsid w:val="007F2A6A"/>
    <w:rsid w:val="007F3721"/>
    <w:rsid w:val="008007D7"/>
    <w:rsid w:val="00804368"/>
    <w:rsid w:val="0081237D"/>
    <w:rsid w:val="00813D9A"/>
    <w:rsid w:val="00826474"/>
    <w:rsid w:val="00827C11"/>
    <w:rsid w:val="0083315A"/>
    <w:rsid w:val="0083484A"/>
    <w:rsid w:val="00835313"/>
    <w:rsid w:val="00837FBC"/>
    <w:rsid w:val="00843BB5"/>
    <w:rsid w:val="00845982"/>
    <w:rsid w:val="00847086"/>
    <w:rsid w:val="008500D9"/>
    <w:rsid w:val="00867F8F"/>
    <w:rsid w:val="008763F7"/>
    <w:rsid w:val="00886224"/>
    <w:rsid w:val="0088697E"/>
    <w:rsid w:val="00890107"/>
    <w:rsid w:val="00894E63"/>
    <w:rsid w:val="00896823"/>
    <w:rsid w:val="008A2FCB"/>
    <w:rsid w:val="008B2CFE"/>
    <w:rsid w:val="008C0EC6"/>
    <w:rsid w:val="008D6402"/>
    <w:rsid w:val="008D7117"/>
    <w:rsid w:val="008E06F5"/>
    <w:rsid w:val="008E502F"/>
    <w:rsid w:val="008E625D"/>
    <w:rsid w:val="008F0E32"/>
    <w:rsid w:val="008F2254"/>
    <w:rsid w:val="008F3479"/>
    <w:rsid w:val="008F3DDC"/>
    <w:rsid w:val="008F43AE"/>
    <w:rsid w:val="008F54AE"/>
    <w:rsid w:val="00903CBE"/>
    <w:rsid w:val="00903E4E"/>
    <w:rsid w:val="00913C8F"/>
    <w:rsid w:val="00926B96"/>
    <w:rsid w:val="00931411"/>
    <w:rsid w:val="00937AFE"/>
    <w:rsid w:val="009434AD"/>
    <w:rsid w:val="00943974"/>
    <w:rsid w:val="00945D9E"/>
    <w:rsid w:val="00960B29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A4FA2"/>
    <w:rsid w:val="009B1828"/>
    <w:rsid w:val="009B5F1C"/>
    <w:rsid w:val="009B7A36"/>
    <w:rsid w:val="009C6B9A"/>
    <w:rsid w:val="009D56F1"/>
    <w:rsid w:val="009E1BD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55B7"/>
    <w:rsid w:val="00AE24C0"/>
    <w:rsid w:val="00AF342C"/>
    <w:rsid w:val="00AF5B88"/>
    <w:rsid w:val="00B0452B"/>
    <w:rsid w:val="00B05BFA"/>
    <w:rsid w:val="00B07F14"/>
    <w:rsid w:val="00B158D5"/>
    <w:rsid w:val="00B223B8"/>
    <w:rsid w:val="00B24D39"/>
    <w:rsid w:val="00B30D89"/>
    <w:rsid w:val="00B332D5"/>
    <w:rsid w:val="00B454C0"/>
    <w:rsid w:val="00B47023"/>
    <w:rsid w:val="00B5010D"/>
    <w:rsid w:val="00B531F1"/>
    <w:rsid w:val="00B779ED"/>
    <w:rsid w:val="00B843BF"/>
    <w:rsid w:val="00B95449"/>
    <w:rsid w:val="00BA19D6"/>
    <w:rsid w:val="00BA4594"/>
    <w:rsid w:val="00BA75E3"/>
    <w:rsid w:val="00BA7760"/>
    <w:rsid w:val="00BB67AB"/>
    <w:rsid w:val="00BC249F"/>
    <w:rsid w:val="00BC35E3"/>
    <w:rsid w:val="00BC4A51"/>
    <w:rsid w:val="00BD0D4E"/>
    <w:rsid w:val="00BD417C"/>
    <w:rsid w:val="00BE4705"/>
    <w:rsid w:val="00BE5067"/>
    <w:rsid w:val="00C0173A"/>
    <w:rsid w:val="00C02DFC"/>
    <w:rsid w:val="00C102F3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0D0"/>
    <w:rsid w:val="00C82600"/>
    <w:rsid w:val="00CA06C6"/>
    <w:rsid w:val="00CA2541"/>
    <w:rsid w:val="00CA2CCC"/>
    <w:rsid w:val="00CB109E"/>
    <w:rsid w:val="00CB1192"/>
    <w:rsid w:val="00CB2B46"/>
    <w:rsid w:val="00CB6DDE"/>
    <w:rsid w:val="00CC2A77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7459C"/>
    <w:rsid w:val="00D75009"/>
    <w:rsid w:val="00D80932"/>
    <w:rsid w:val="00D8745C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041B1"/>
    <w:rsid w:val="00E27FF4"/>
    <w:rsid w:val="00E43BD0"/>
    <w:rsid w:val="00E44AF4"/>
    <w:rsid w:val="00E54B7B"/>
    <w:rsid w:val="00E57251"/>
    <w:rsid w:val="00E669FB"/>
    <w:rsid w:val="00E678B7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B0346"/>
    <w:rsid w:val="00EB63B8"/>
    <w:rsid w:val="00EC19C0"/>
    <w:rsid w:val="00EC36EA"/>
    <w:rsid w:val="00EC5495"/>
    <w:rsid w:val="00ED15F4"/>
    <w:rsid w:val="00EE211F"/>
    <w:rsid w:val="00EE253D"/>
    <w:rsid w:val="00EE380C"/>
    <w:rsid w:val="00EE5A7B"/>
    <w:rsid w:val="00EF5CD6"/>
    <w:rsid w:val="00EF64CB"/>
    <w:rsid w:val="00F26116"/>
    <w:rsid w:val="00F31752"/>
    <w:rsid w:val="00F34AAF"/>
    <w:rsid w:val="00F55B52"/>
    <w:rsid w:val="00F5762C"/>
    <w:rsid w:val="00F76B48"/>
    <w:rsid w:val="00F81686"/>
    <w:rsid w:val="00F83BF7"/>
    <w:rsid w:val="00F922EE"/>
    <w:rsid w:val="00F9472D"/>
    <w:rsid w:val="00FA057C"/>
    <w:rsid w:val="00FA7040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894EE-8A07-4824-9BE5-7B8B4A684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9</cp:revision>
  <cp:lastPrinted>2021-10-14T12:47:00Z</cp:lastPrinted>
  <dcterms:created xsi:type="dcterms:W3CDTF">2021-10-13T17:00:00Z</dcterms:created>
  <dcterms:modified xsi:type="dcterms:W3CDTF">2021-10-14T05:49:00Z</dcterms:modified>
</cp:coreProperties>
</file>