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1E4" w:rsidRPr="005B7C60" w:rsidRDefault="002321E4" w:rsidP="005B7C60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Кириллова Ольга Святославовна</w:t>
      </w:r>
      <w:r w:rsidR="005B7C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</w:p>
    <w:p w:rsidR="005B7C60" w:rsidRDefault="005B7C60" w:rsidP="005B7C60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доктор экономических наук, профессор,</w:t>
      </w:r>
    </w:p>
    <w:p w:rsidR="005B7C60" w:rsidRDefault="005B7C60" w:rsidP="005B7C60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зав. кафедрой налогов и налогообложения</w:t>
      </w:r>
    </w:p>
    <w:p w:rsidR="005B7C60" w:rsidRDefault="005B7C60" w:rsidP="005B7C60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Саратовского социально-экономического</w:t>
      </w:r>
    </w:p>
    <w:p w:rsidR="005B7C60" w:rsidRPr="005B7C60" w:rsidRDefault="005B7C60" w:rsidP="005B7C60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института (филиала) РЭУ им. Г.В. Плеханова</w:t>
      </w:r>
    </w:p>
    <w:p w:rsidR="002321E4" w:rsidRDefault="002321E4" w:rsidP="006F72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24699" w:rsidRDefault="005B7C60" w:rsidP="005B7C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246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 ОСНОВНЫХ НАПРАВЛЕНИЯХ БЮДЖЕТНОЙ ПОЛИТИКИ НА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A246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2019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A246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2021 ГОДЫ</w:t>
      </w:r>
    </w:p>
    <w:p w:rsidR="006F72AC" w:rsidRPr="00A24699" w:rsidRDefault="006F72A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24699" w:rsidRDefault="00A24699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Последние месяцы </w:t>
      </w:r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финансового года всегда вызыва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желание критически оценить </w:t>
      </w:r>
      <w:proofErr w:type="gramStart"/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</w:t>
      </w:r>
      <w:proofErr w:type="gramEnd"/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уходящий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учесть ошибки при планировании бюджета будущего года.</w:t>
      </w:r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год</w:t>
      </w:r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для федерального, и для региональных бюджетов выдался непростым, но все же более позитивным, чем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ожидалось</w:t>
      </w:r>
      <w:r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F72AC" w:rsidRDefault="00FC32A8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Впервые представленный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Минфином 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России 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документа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содержит 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только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 и 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налоговой и </w:t>
      </w:r>
      <w:proofErr w:type="spellStart"/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таможенно-тарифной</w:t>
      </w:r>
      <w:proofErr w:type="spellEnd"/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политики на ближайшие три года</w:t>
      </w:r>
      <w:r w:rsidR="00BA6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Этот документ </w:t>
      </w:r>
      <w:r w:rsid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неоднозначно оценивается экспертами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многие его считают бол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ьше</w:t>
      </w:r>
      <w:r w:rsid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24699" w:rsidRP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консерватив</w:t>
      </w:r>
      <w:r w:rsidR="00A246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ным, чем отражающим резкий рывок вперед.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F72AC"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это оказывают влияние и внешние факторы: сократились темпы роста мировой экономики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в</w:t>
      </w:r>
      <w:r w:rsidR="006F72AC"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нешние источники 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утратили возможность пополнять </w:t>
      </w:r>
      <w:r w:rsidR="006F72AC"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доходн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ую</w:t>
      </w:r>
      <w:r w:rsidR="006F72AC"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6F72AC"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бюджета</w:t>
      </w:r>
      <w:r w:rsid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неминуемо скажется на сокращении бюджетных расходов.</w:t>
      </w:r>
    </w:p>
    <w:p w:rsidR="00123AB7" w:rsidRDefault="00123AB7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неизменных ценах</w:t>
      </w:r>
      <w:r w:rsid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т.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 ценах, позволяющих сравнить изменения, 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ожидаемый объем расходов</w:t>
      </w:r>
      <w:r w:rsid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бюджета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2018 г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оду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окажется на 16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ниже расходов 2014 года и на 6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ниже расходов 2011 года. В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соответствии с проектом </w:t>
      </w:r>
      <w:r w:rsid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основных направлений бюджетной политики на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2019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2021 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годы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расходы федерального бюджета в неизменных ценах начнут увеличиваться, но к 2021 году они выйдут всего лишь на уровень 2011 года.</w:t>
      </w:r>
    </w:p>
    <w:p w:rsidR="001A510D" w:rsidRDefault="001A510D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Похожая ситуация и в регионах. 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период 2011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2017 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годы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неизменных ценах расходы региональных бюджетов сократились почти на 10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</w:t>
      </w:r>
      <w:r w:rsid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2021 году их увеличение планируется только на 6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Ограничение роста расходов и сопутствовавшие этому трудности с исполнением обязательств о повышении оплаты труда в бюджетной сфере явля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A5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ценой достижения сбалансированности бюджетов для многих регионов.</w:t>
      </w:r>
    </w:p>
    <w:p w:rsidR="00962819" w:rsidRDefault="00962819" w:rsidP="009628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4D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Структура бюджетных расходов вызывает опасения. Здравоохранение и образование по-прежнему не находятся в приоритете. На первый план выходят социальные обязательства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62819" w:rsidRDefault="00962819" w:rsidP="009628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 тем уровень основных бюджетных расходов удалось сохранить на уровне не ниже прошлого года. На графике видно, что по-прежнему социальные расходы являются приоритетными для государства. Н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еобходимость финансировать майские указы президента вынудила правительство пойти на изменение пенсионного возраста и повышение ставки НДС с 18 до 20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 Благодаря этим мерам указы будут реализованы, но ценой значительной инфляции и слабого роста в 2019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6FA0" w:rsidRDefault="00BA6FA0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2E7C" w:rsidRDefault="00E42E7C" w:rsidP="005B7C6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890585" cy="2626242"/>
            <wp:effectExtent l="19050" t="0" r="14915" b="2658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B7C60" w:rsidRPr="00962819" w:rsidRDefault="005B7C60" w:rsidP="00FC32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FC32A8" w:rsidRDefault="00FC32A8" w:rsidP="005B7C6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Структура расходов федерального бюджета в 201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5B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A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9A5F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годах (% к ВВП)</w:t>
      </w:r>
    </w:p>
    <w:p w:rsidR="005B7C60" w:rsidRPr="00962819" w:rsidRDefault="005B7C60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9D64B1" w:rsidRDefault="00FC32A8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бюджета на очередной период 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приоритетном порядке будут предусмотрены бюджетные </w:t>
      </w:r>
      <w:r w:rsid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средства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реализацию национальных проектов, на которые планируется направить более 8 </w:t>
      </w:r>
      <w:proofErr w:type="spellStart"/>
      <w:proofErr w:type="gramStart"/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трлн</w:t>
      </w:r>
      <w:proofErr w:type="spellEnd"/>
      <w:proofErr w:type="gramEnd"/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</w:p>
    <w:p w:rsidR="009D64B1" w:rsidRDefault="00962819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</w:t>
      </w:r>
      <w:r w:rsid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2019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годах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объем </w:t>
      </w:r>
      <w:r w:rsidR="009D64B1" w:rsidRPr="0024307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расходов на образование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продолжает оставаться крайне низким – 3,5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и даже снижается до 3,4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ВВП в 2021 году.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Доля расходов на образование в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структуре федерального бюджета также сокращается с 4,1 до 3,6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в 2021 году, а не растет.</w:t>
      </w:r>
      <w:r w:rsid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таких условиях 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достижения целей развития образования средств заложено явно не достаточно. По мнению экспертов, на ближайшие 6 лет потребуется не менее 880 </w:t>
      </w:r>
      <w:proofErr w:type="spellStart"/>
      <w:proofErr w:type="gramStart"/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дополнительных бюджетных средств, из которых на повышение конкурентоспособности системы высшего образования понадобится 375 </w:t>
      </w:r>
      <w:proofErr w:type="spellStart"/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 Так, чтобы решить задачу по увеличению не менее чем в два раза количества иностранных граждан, обучающихся в образовательных организациях высшего образования, которая прямо поставлена в Указе Президента РФ, представляется необходимым создать и модернизировать не менее 5 университетских кампусов вузов и около 25 общежитий, что в период до 2024 года по минимальной оценке будет стоить федеральному бюджету 90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proofErr w:type="gramStart"/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</w:p>
    <w:p w:rsidR="0024307F" w:rsidRDefault="0024307F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новыми экономическими условиями и в дополнение к этому 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продолжительности жизни и повышени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пенсионного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системой образования стоит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ще одна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важная 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требующая финансовых вложений</w:t>
      </w:r>
      <w:r w:rsidR="009628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всеми желающими компетенциями в области цифровой экономики.</w:t>
      </w:r>
      <w:proofErr w:type="gram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ее реализацию потребуется от 3 до 16 </w:t>
      </w:r>
      <w:proofErr w:type="spellStart"/>
      <w:proofErr w:type="gram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 ежегодно, т.</w:t>
      </w:r>
      <w:r w:rsidR="009628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 67 </w:t>
      </w:r>
      <w:proofErr w:type="spell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 за весь период до 2024 года. </w:t>
      </w:r>
    </w:p>
    <w:p w:rsidR="0024307F" w:rsidRDefault="0024307F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вхождения Российской Федерации в число 10 ведущих стран мира по качеству общего образования необходимо не только и не столько строительство новых школ, средства на которое предусмотрены в утвержденном федеральном бюджете, но и внедрение современных цифровых образовательных ресурсов по всем базовым и профильным школьным предметам. Такие цифровые учебно-методические комплексы, создание которых стоит от 100 до 150 </w:t>
      </w:r>
      <w:proofErr w:type="spellStart"/>
      <w:proofErr w:type="gram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 в расчете на 1 год предметного цикла, способны не только решить задачу </w:t>
      </w:r>
      <w:proofErr w:type="spell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цифровизации</w:t>
      </w:r>
      <w:proofErr w:type="spell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образования, но и обеспечить возможность гибкости образовательной траектории для каждого школьника, в том числе с ограниченными возможностями здоровья. На реализацию этой задачи по минимальным оценкам с учетом необходимого пилотирования на первом этапе потребуется от 8 до 20 </w:t>
      </w:r>
      <w:proofErr w:type="spellStart"/>
      <w:proofErr w:type="gram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ежегодно.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Эти средства в рамках бюджетной политики планируется изыскивать дополнительно.</w:t>
      </w:r>
    </w:p>
    <w:p w:rsidR="0024307F" w:rsidRDefault="0024307F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Определяющим фактором для бюджетной политики в сфере </w:t>
      </w:r>
      <w:r w:rsidRPr="0024307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здравоохранения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ближайшие годы будут выступать целевые показатели и задачи развития здравоохранения, определенные в Указе Президента РФ от 7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мая 2018 г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Указ предусматривает более интенсивное улучшение </w:t>
      </w:r>
      <w:proofErr w:type="gramStart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показателей состояния здоровья населения России</w:t>
      </w:r>
      <w:proofErr w:type="gramEnd"/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2018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2024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годах</w:t>
      </w:r>
      <w:r w:rsidRPr="00243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чем в предыдущие годы.</w:t>
      </w:r>
      <w:r w:rsid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асходы </w:t>
      </w:r>
      <w:r w:rsid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всех 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бюджетов бюджетной системы</w:t>
      </w:r>
      <w:r w:rsid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социального внебюджетного фонда обязательного медицинского страхования 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здравоохранение увеличиваются на 430 </w:t>
      </w:r>
      <w:proofErr w:type="spellStart"/>
      <w:proofErr w:type="gramStart"/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 Однако </w:t>
      </w:r>
      <w:r w:rsid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доля в 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ВВП сокраща</w:t>
      </w:r>
      <w:r w:rsid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с 3,3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в 2018 г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оду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3,1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 в 2021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году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Эта величина не соответствует целевому показателю расходов на здравоохранение, включенному в Послание Президента Федеральному Собранию от 1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марта 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2018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Pr="00382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«В 2019–2024 годах на развитие системы здравоохранения из всех источников потребуется ежегодно направлять в среднем более 4 процентов ВВП».</w:t>
      </w:r>
    </w:p>
    <w:p w:rsidR="00FC32A8" w:rsidRDefault="00FC32A8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Сложные условия финансово-экономической</w:t>
      </w:r>
      <w:r w:rsid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демографической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ситуации скорректировали основные направления бюджетной политики. </w:t>
      </w:r>
      <w:r w:rsidR="006F673C"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Основными приоритетами налоговой политики явля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6F673C"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поддержка инвестиций, а также стимулирование деятельности в области инноваций. Также нужно сохранить размер налоговой нагрузки по разным секторам экономики, где </w:t>
      </w:r>
      <w:proofErr w:type="gramStart"/>
      <w:r w:rsidR="006F673C"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</w:t>
      </w:r>
      <w:proofErr w:type="gramEnd"/>
      <w:r w:rsidR="006F673C"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достигнут ее оптимальный уровень, принимая в учет те требования устойчивости бюджетной системы Росс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ии, которые были ранее указаны.</w:t>
      </w:r>
    </w:p>
    <w:p w:rsidR="00DA4C15" w:rsidRDefault="00DA4C15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ближайшие годы и в перспективе негативное воздействие на экономический рост в России будет оказывать сокращ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 трудоспособного населения.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период до 2030 года это сокращение составит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около 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proofErr w:type="gramStart"/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человек. В июне 2018 года было объявлено о начале с 2019 года реформы, предполагающей поэтапное увеличение пенсионного возраста и темпов индексации пенсий для нынешних пенсионеров.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Эти непопулярные меры остро были восприняты населением, в жарких дискуссиях о которых многие не обратили внимание на то, что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равительством предлагается снижени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ставок отчислений в социальные внебюджетные фонды, за что давно активно выступали представители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бизнес-сообщества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DA4C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Следует отметить, что преобразования в пенсионной сфере увеличивают потребность в расходах на смягчение социальных последствий принятых решений, в том числе на здравоохранение и образование (программы переобучения).</w:t>
      </w:r>
    </w:p>
    <w:p w:rsidR="006F673C" w:rsidRPr="006F673C" w:rsidRDefault="006F673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Такую</w:t>
      </w:r>
      <w:r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бюджетную политику должна компенсировать нейтральная или мягкая денежно-кредитная политика Банка России, однако из-за рисков роста инфляции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Банк России </w:t>
      </w:r>
      <w:r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вынужден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только </w:t>
      </w:r>
      <w:r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приостановить снижение ключевой ставки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 и повысить ее до 7,5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</w:t>
      </w:r>
      <w:r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F673C" w:rsidRDefault="00DA4C15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Поскольку бюджетная политик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тесно связана с политикой налоговой,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безусловно следует иметь в виду, что все изменения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налоговом законодательстве предложено проводить с учетом необходимости наименьших корректировок и сохранения стабильности условий для бизнеса. Тем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широкое </w:t>
      </w:r>
      <w:r w:rsidR="00BA6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обсуждение вызвали предложения о повышении налога на добавленную стоимость до 20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A6F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</w:p>
    <w:p w:rsidR="006F673C" w:rsidRDefault="006F673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это может дать экономике? </w:t>
      </w:r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ожидании повышения НДС во второй половине года вырастет деловая активность, в </w:t>
      </w:r>
      <w:proofErr w:type="gramStart"/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экономисты прогнозируют по итогам года рост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валового внутреннего продукта (ВВП) на</w:t>
      </w:r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1,7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годовых. 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нако затем динамика замедлится </w:t>
      </w:r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1,4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4035B"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к 2021 году 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темпы роста ВВП</w:t>
      </w:r>
      <w:r w:rsidRPr="006F6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могут вырасти до 3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оследствия от повышения налога вполне могут быть компенсированы за счет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некоторого 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стабилизации</w:t>
      </w:r>
      <w:r w:rsidRPr="00F403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расходов в медицине, образовании и пенсионном обеспечении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C3ECC" w:rsidRPr="00BC3ECC" w:rsidRDefault="00BC3EC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обеспечения благоприятных условий деятельности малого бизнеса будет разработан новый специальный налоговый режим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система налогообложения в виде налога на профессиональный доход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Этот режим коснется в основном так называемых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самозанятых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граждан</w:t>
      </w: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C3ECC" w:rsidRPr="00BC3ECC" w:rsidRDefault="00BC3EC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Предусматривается введение с 1 января 2019 года нового режима налогообложения для нефтяного сектора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налог на дополнительный доход </w:t>
      </w:r>
      <w:r w:rsidR="00052496"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(НДД)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добыче углеводородного сырья, который будет осуществляться в тестовом режиме на отдельных участках недр.</w:t>
      </w:r>
    </w:p>
    <w:p w:rsidR="009D64B1" w:rsidRDefault="00BC3EC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3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1 января 2019 года планируется исключить из объекта налогообложения движимое имущество.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компенсировать регионам потерю доходов от отмены данного налога, п</w:t>
      </w:r>
      <w:r w:rsidR="009D64B1" w:rsidRPr="009D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ланируется в целях укрепления бюджетов регионов предоставить им дополнительные источники в виде повышения нормативов зачисления в региональные бюджеты акцизов на крепкий алкоголь и поэтапной передачи акцизов на нефтепродукты.</w:t>
      </w:r>
    </w:p>
    <w:p w:rsidR="000C178F" w:rsidRDefault="00CE33CA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целом п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итогам 2019 года темп роста ВВП прогнозируется на уровне 1,4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 Замедление темпов экономического роста будет связано как с умеренным замедлением инвестиционной активности, так и снижением темпов роста потребительского спроса.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Рост </w:t>
      </w:r>
      <w:r w:rsidR="003239F1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экономики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Саратовской области в первом по</w:t>
      </w:r>
      <w:r w:rsid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угодии 2018 года оценивается на уровне 101,8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%, а по году этот пок</w:t>
      </w:r>
      <w:r w:rsid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азатель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ожидается на уровне </w:t>
      </w:r>
      <w:r w:rsid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02,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3 </w:t>
      </w:r>
      <w:r w:rsidR="000C178F" w:rsidRPr="000C17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Инвестиционной ак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ивности в регионе бу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 способствовать 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работа 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Корпораци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развития Саратовской области. Рост оборота розничной торговли в области в 2019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2021 годах прогнозируется на уровне 102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102,5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 В Саратовской области и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нд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екс потребительски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ц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 в текущем году ожида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ется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уровне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02,5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%, в 2019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годах сре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негодовой показатель прогнозируется на уровне 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103,8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239F1"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</w:t>
      </w:r>
      <w:r w:rsid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E33CA" w:rsidRDefault="003239F1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r w:rsid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кономика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</w:t>
      </w:r>
      <w:r w:rsid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целом стабилизируется и</w:t>
      </w:r>
      <w:r w:rsidR="00CE33CA"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адаптируется к новым условиям</w:t>
      </w:r>
      <w:r w:rsidRPr="0032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2020 году</w:t>
      </w:r>
      <w:r w:rsid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E33CA" w:rsidRDefault="00CE33CA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Снижение потребительского спроса на товары отчасти объясняется и ожидаемым замедлением 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реальных темпов роста заработных плат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 связано так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 и с тем, что уже в настоящее время практически повсеместно доведены 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целевого уровня оплаты труда работников социальной сферы, а также </w:t>
      </w:r>
      <w:r w:rsidR="00052496"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размер МРОТ 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 до прожиточного минимума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в 2019 г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оду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индексация прочим категориям работников бюджетной сферы будет проведена с 1 октября (а не с 1 января, как в текущем году). С другой стороны, на реальных темпах роста заработной платы, так же как и на их покупательной способности, негативно скажется ускорение инфляции. </w:t>
      </w:r>
      <w:proofErr w:type="gramStart"/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результате темп роста реальных заработных плат снизится с ожидаемых 6,3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в текущем году до менее 1,0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E3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 в 2019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CE33CA" w:rsidRDefault="00CE33CA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Возможность привлечения частных инвестиций</w:t>
      </w:r>
      <w:r w:rsidR="00BD2F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создаст предпосылки для всеобщего экономического роста.</w:t>
      </w:r>
    </w:p>
    <w:p w:rsidR="006F673C" w:rsidRDefault="006F72AC" w:rsidP="005B7C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таких условиях бюджетная политика России направлена на ре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шение следующих основных задач:</w:t>
      </w:r>
    </w:p>
    <w:p w:rsidR="006F673C" w:rsidRPr="00052496" w:rsidRDefault="006F72AC" w:rsidP="0005249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обеспечение сбалансированности в долгосрочной перспективе при учете того, что будет обязательное исполнение всех обязательств государства и выполнение задач, представленных в 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указах Президента РФ;</w:t>
      </w:r>
    </w:p>
    <w:p w:rsidR="006F673C" w:rsidRPr="00052496" w:rsidRDefault="006F72AC" w:rsidP="0005249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оптимизация структуры расходов федерального бюджета (выявление резервов и перераспределение в пользу приори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тетных направлений и проектов);</w:t>
      </w:r>
    </w:p>
    <w:p w:rsidR="006F673C" w:rsidRPr="00052496" w:rsidRDefault="006F72AC" w:rsidP="0005249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программно-целевых методов управления (базой для планирования бюджета должны стать прогр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аммы, проводимые государством);</w:t>
      </w:r>
    </w:p>
    <w:p w:rsidR="006F673C" w:rsidRPr="00052496" w:rsidRDefault="006F72AC" w:rsidP="0005249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сбаланс</w:t>
      </w:r>
      <w:r w:rsid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ированности пенсионной системы;</w:t>
      </w:r>
    </w:p>
    <w:p w:rsidR="006F72AC" w:rsidRDefault="006F72AC" w:rsidP="0005249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2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налоговой системы России и повышение ее конкурентоспособности.</w:t>
      </w:r>
    </w:p>
    <w:p w:rsidR="00052496" w:rsidRDefault="00052496" w:rsidP="0005249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52496" w:rsidRPr="00052496" w:rsidRDefault="00052496" w:rsidP="0005249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052496" w:rsidRPr="00052496" w:rsidSect="005B7C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84192"/>
    <w:multiLevelType w:val="hybridMultilevel"/>
    <w:tmpl w:val="793A471C"/>
    <w:lvl w:ilvl="0" w:tplc="62B8911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D5740B"/>
    <w:multiLevelType w:val="hybridMultilevel"/>
    <w:tmpl w:val="F8661C50"/>
    <w:lvl w:ilvl="0" w:tplc="9A3468CC">
      <w:numFmt w:val="bullet"/>
      <w:lvlText w:val="•"/>
      <w:lvlJc w:val="left"/>
      <w:pPr>
        <w:ind w:left="1564" w:hanging="8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/>
  <w:rsids>
    <w:rsidRoot w:val="00A24699"/>
    <w:rsid w:val="00052496"/>
    <w:rsid w:val="00082A07"/>
    <w:rsid w:val="000C178F"/>
    <w:rsid w:val="00123AB7"/>
    <w:rsid w:val="001A510D"/>
    <w:rsid w:val="002304C5"/>
    <w:rsid w:val="002321E4"/>
    <w:rsid w:val="0024307F"/>
    <w:rsid w:val="002A20BA"/>
    <w:rsid w:val="003239F1"/>
    <w:rsid w:val="00382DF2"/>
    <w:rsid w:val="005B7C60"/>
    <w:rsid w:val="006F673C"/>
    <w:rsid w:val="006F72AC"/>
    <w:rsid w:val="0089123A"/>
    <w:rsid w:val="00962819"/>
    <w:rsid w:val="009A5F4B"/>
    <w:rsid w:val="009D64B1"/>
    <w:rsid w:val="009F3475"/>
    <w:rsid w:val="00A24699"/>
    <w:rsid w:val="00AE1969"/>
    <w:rsid w:val="00B14D38"/>
    <w:rsid w:val="00BA6FA0"/>
    <w:rsid w:val="00BC3ECC"/>
    <w:rsid w:val="00BD2F71"/>
    <w:rsid w:val="00C51C3F"/>
    <w:rsid w:val="00CE33CA"/>
    <w:rsid w:val="00DA4C15"/>
    <w:rsid w:val="00DC03A5"/>
    <w:rsid w:val="00E42E7C"/>
    <w:rsid w:val="00F4035B"/>
    <w:rsid w:val="00FC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46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0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A5F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42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E7C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9D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524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Национальная экономика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2.7</c:v>
                </c:pt>
                <c:pt idx="1">
                  <c:v>2.7</c:v>
                </c:pt>
                <c:pt idx="2">
                  <c:v>2.4</c:v>
                </c:pt>
                <c:pt idx="3">
                  <c:v>2.1</c:v>
                </c:pt>
                <c:pt idx="4">
                  <c:v>1.9000000000000001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Расходы, всего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18.7</c:v>
                </c:pt>
                <c:pt idx="1">
                  <c:v>17.8</c:v>
                </c:pt>
                <c:pt idx="2">
                  <c:v>16.5</c:v>
                </c:pt>
                <c:pt idx="3">
                  <c:v>16.899999999999999</c:v>
                </c:pt>
                <c:pt idx="4">
                  <c:v>16.899999999999999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0.70000000000000007</c:v>
                </c:pt>
                <c:pt idx="1">
                  <c:v>0.70000000000000007</c:v>
                </c:pt>
                <c:pt idx="2">
                  <c:v>0.70000000000000007</c:v>
                </c:pt>
                <c:pt idx="3">
                  <c:v>0.70000000000000007</c:v>
                </c:pt>
                <c:pt idx="4">
                  <c:v>0.60000000000000009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Национальная оборона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4.4000000000000004</c:v>
                </c:pt>
                <c:pt idx="1">
                  <c:v>3.1</c:v>
                </c:pt>
                <c:pt idx="2">
                  <c:v>2.8</c:v>
                </c:pt>
                <c:pt idx="3">
                  <c:v>2.6</c:v>
                </c:pt>
                <c:pt idx="4">
                  <c:v>2.6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5.3</c:v>
                </c:pt>
                <c:pt idx="1">
                  <c:v>5.4</c:v>
                </c:pt>
                <c:pt idx="2">
                  <c:v>4.5999999999999996</c:v>
                </c:pt>
                <c:pt idx="3">
                  <c:v>4.5999999999999996</c:v>
                </c:pt>
                <c:pt idx="4">
                  <c:v>4.5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Здравоохранение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0.60000000000000009</c:v>
                </c:pt>
                <c:pt idx="1">
                  <c:v>0.5</c:v>
                </c:pt>
                <c:pt idx="2">
                  <c:v>0.5</c:v>
                </c:pt>
                <c:pt idx="3">
                  <c:v>0.4</c:v>
                </c:pt>
                <c:pt idx="4">
                  <c:v>0.5</c:v>
                </c:pt>
              </c:numCache>
            </c:numRef>
          </c:val>
        </c:ser>
        <c:marker val="1"/>
        <c:axId val="271657216"/>
        <c:axId val="271704832"/>
      </c:lineChart>
      <c:catAx>
        <c:axId val="271657216"/>
        <c:scaling>
          <c:orientation val="minMax"/>
        </c:scaling>
        <c:axPos val="b"/>
        <c:numFmt formatCode="General" sourceLinked="1"/>
        <c:tickLblPos val="nextTo"/>
        <c:crossAx val="271704832"/>
        <c:crosses val="autoZero"/>
        <c:auto val="1"/>
        <c:lblAlgn val="ctr"/>
        <c:lblOffset val="100"/>
      </c:catAx>
      <c:valAx>
        <c:axId val="271704832"/>
        <c:scaling>
          <c:orientation val="minMax"/>
        </c:scaling>
        <c:axPos val="l"/>
        <c:majorGridlines/>
        <c:numFmt formatCode="General" sourceLinked="1"/>
        <c:tickLblPos val="nextTo"/>
        <c:crossAx val="2716572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</dc:creator>
  <cp:lastModifiedBy>localuser</cp:lastModifiedBy>
  <cp:revision>4</cp:revision>
  <cp:lastPrinted>2018-09-17T10:50:00Z</cp:lastPrinted>
  <dcterms:created xsi:type="dcterms:W3CDTF">2018-09-18T11:02:00Z</dcterms:created>
  <dcterms:modified xsi:type="dcterms:W3CDTF">2018-09-18T11:31:00Z</dcterms:modified>
</cp:coreProperties>
</file>