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ADE" w:rsidRDefault="00B14ADE" w:rsidP="00071763">
      <w:pPr>
        <w:spacing w:after="240" w:line="240" w:lineRule="auto"/>
        <w:rPr>
          <w:rFonts w:ascii="PTSans" w:eastAsia="Times New Roman" w:hAnsi="PTSans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B4DC12C" wp14:editId="360E3A0E">
            <wp:extent cx="1762125" cy="361950"/>
            <wp:effectExtent l="0" t="0" r="9525" b="0"/>
            <wp:docPr id="4" name="Рисунок 4" descr="БЮДЖЕТ.RU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БЮДЖЕТ.RU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763" w:rsidRPr="00071763" w:rsidRDefault="00071763" w:rsidP="00071763">
      <w:pPr>
        <w:spacing w:after="0" w:line="240" w:lineRule="auto"/>
        <w:rPr>
          <w:rFonts w:ascii="PTSans" w:eastAsia="Times New Roman" w:hAnsi="PTSans" w:cs="Times New Roman"/>
          <w:sz w:val="24"/>
          <w:szCs w:val="24"/>
          <w:lang w:eastAsia="ru-RU"/>
        </w:rPr>
      </w:pPr>
      <w:r w:rsidRPr="00071763">
        <w:rPr>
          <w:rFonts w:ascii="PTSans" w:eastAsia="Times New Roman" w:hAnsi="PTSans" w:cs="Times New Roman"/>
          <w:sz w:val="24"/>
          <w:szCs w:val="24"/>
          <w:lang w:eastAsia="ru-RU"/>
        </w:rPr>
        <w:t xml:space="preserve">© </w:t>
      </w:r>
      <w:hyperlink r:id="rId6" w:history="1">
        <w:r w:rsidRPr="00B14ADE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ИД «Бюджет»</w:t>
        </w:r>
        <w:r w:rsidRPr="00B14ADE">
          <w:rPr>
            <w:rStyle w:val="a3"/>
            <w:rFonts w:ascii="PTSans" w:eastAsia="Times New Roman" w:hAnsi="PTSans" w:cs="Times New Roman"/>
            <w:sz w:val="24"/>
            <w:szCs w:val="24"/>
            <w:lang w:eastAsia="ru-RU"/>
          </w:rPr>
          <w:t xml:space="preserve"> – </w:t>
        </w:r>
        <w:r w:rsidRPr="00B14ADE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№7 июль 2019</w:t>
        </w:r>
        <w:r w:rsidRPr="00B14ADE">
          <w:rPr>
            <w:rStyle w:val="a3"/>
            <w:rFonts w:ascii="PTSans" w:eastAsia="Times New Roman" w:hAnsi="PTSans" w:cs="Times New Roman"/>
            <w:sz w:val="24"/>
            <w:szCs w:val="24"/>
            <w:lang w:eastAsia="ru-RU"/>
          </w:rPr>
          <w:t xml:space="preserve"> </w:t>
        </w:r>
        <w:r w:rsidRPr="00B14ADE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– 17.07.2019</w:t>
        </w:r>
      </w:hyperlink>
    </w:p>
    <w:p w:rsidR="00071763" w:rsidRPr="00B14ADE" w:rsidRDefault="00071763" w:rsidP="00B14ADE">
      <w:pPr>
        <w:spacing w:before="300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B14ADE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Развитие механизмов финансового участия граждан в решении вопросов местного значения </w:t>
      </w:r>
    </w:p>
    <w:p w:rsidR="00B14ADE" w:rsidRDefault="00B14ADE" w:rsidP="00B14ADE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071763" w:rsidRPr="00B14ADE" w:rsidRDefault="00071763" w:rsidP="00B14ADE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A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Недостаточность финансовых ресурсов для решения вопросов местного значения — одна из основных проблем местного самоуправления. Дефицитность доходной базы местных бюджетов вызывает недофинансирование местных бюджетов, ведет к недопроизводству общественных услуг и (или) снижению их качества. Альтернативным способом </w:t>
      </w:r>
      <w:proofErr w:type="spellStart"/>
      <w:r w:rsidRPr="00B14A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софинансирования</w:t>
      </w:r>
      <w:proofErr w:type="spellEnd"/>
      <w:r w:rsidRPr="00B14A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местных расходов является использование механизмов самообложения граждан.</w:t>
      </w:r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71763" w:rsidRPr="00B14ADE" w:rsidRDefault="00071763" w:rsidP="00B14ADE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Современная практика применения механизмов самообложения граждан довольно неоднозначна. Меры по стимулированию самообложения, предпринимаемые в субъектах Федерации, приводят к самым разным результатам. В одних регионах опыт развития самообложения признан успешным, в других внедрение этого механизма не привело к ожидаемым результатам и собранные средства населения не превысили расходов на проведение референдума, в третьих сохраняется противодействие внедряемым практикам со стороны населения. </w:t>
      </w:r>
    </w:p>
    <w:p w:rsidR="00071763" w:rsidRPr="00B14ADE" w:rsidRDefault="00071763" w:rsidP="00B14ADE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Статистика, характеризующая сводные результаты внедрения механизмов самообложения в соответствии с нормами Закона № 131</w:t>
      </w:r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ФЗ, крайне ограниченна. По информации из открытых источников, при обсуждении проекта изменений в 131</w:t>
      </w:r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ФЗ в Государственной думе, представители Минфина России приводили данные, что в 2012 году </w:t>
      </w:r>
      <w:proofErr w:type="gramStart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</w:t>
      </w:r>
      <w:proofErr w:type="gramEnd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таким образом собрали 80 миллионов рублей, в 2014-м — 120 миллионов рублей. В 2014 году самообложение граждан было введено на территории 34 регионов России в 1454 муниципальных образованиях. Это около 6,5% от общего количества муниципальных образований, которых в то время в стране было порядка 23 тысяч. </w:t>
      </w:r>
    </w:p>
    <w:p w:rsidR="00071763" w:rsidRPr="00B14ADE" w:rsidRDefault="00071763" w:rsidP="00B14ADE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Самообложение вводится преимущественно на уровне сельских поселений, крайне редко этот механизм используется в городских округах. Наибольший объем поступлений от самообложения в 2014 году пришелся на Республику Татарстан (более 70% общего объема средств), Кировскую область и Пермский край. </w:t>
      </w:r>
    </w:p>
    <w:p w:rsidR="008420DA" w:rsidRDefault="008420DA" w:rsidP="00B14ADE">
      <w:pPr>
        <w:spacing w:before="100" w:beforeAutospacing="1" w:after="144" w:line="312" w:lineRule="atLeast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071763" w:rsidRPr="00B14ADE" w:rsidRDefault="00071763" w:rsidP="00B14ADE">
      <w:pPr>
        <w:spacing w:before="100" w:beforeAutospacing="1" w:after="144" w:line="312" w:lineRule="atLeast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bookmarkStart w:id="0" w:name="_GoBack"/>
      <w:bookmarkEnd w:id="0"/>
      <w:r w:rsidRPr="00B14AD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lastRenderedPageBreak/>
        <w:t>Проект Минфина России</w:t>
      </w:r>
    </w:p>
    <w:p w:rsidR="00071763" w:rsidRPr="00B14ADE" w:rsidRDefault="00071763" w:rsidP="00B14ADE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Очевидно, что наиболее успешным является опыт территорий, где для активизации самообложения применяют </w:t>
      </w:r>
      <w:proofErr w:type="spellStart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софинансирование</w:t>
      </w:r>
      <w:proofErr w:type="spellEnd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регионального бюджета. Кроме того, особую значимость имеет активность и заинтересованность самих граждан в разрешении вопросов местного значения, что в последние годы во многом обеспечивается за счет использования органами власти новых механизмов взаимодействия с населением, </w:t>
      </w:r>
      <w:proofErr w:type="gramStart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основанных</w:t>
      </w:r>
      <w:proofErr w:type="gramEnd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том числе на международном опыте. Так, достаточно значительное число субъектов РФ добилось успеха в привлечении средств населения для решения вопросов местного значения благодаря участию в проекте Министерства финансов РФ по развитию инициативного бюджетирования в Российской Федерации, реализуемом с 2007 года в сотрудничестве </w:t>
      </w:r>
      <w:proofErr w:type="gramStart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Всемирным банком. </w:t>
      </w:r>
    </w:p>
    <w:p w:rsidR="00071763" w:rsidRPr="00B14ADE" w:rsidRDefault="00071763" w:rsidP="00B14ADE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Этот проект является для Минфина России одним из приоритетных. </w:t>
      </w:r>
      <w:proofErr w:type="gramStart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Начиная с 2015 года развитие практик инициативного бюджетирования в субъектах РФ ведомство поддерживает в рамках</w:t>
      </w:r>
      <w:proofErr w:type="gramEnd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направления по повышению открытости управления государственными и муниципальными финансами. Развитие практик инициативного бюджетирования включено в число задач, подлежащих решению в текущем году в рамках </w:t>
      </w:r>
      <w:proofErr w:type="gramStart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Концепции повышения эффективности бюджетных расходов</w:t>
      </w:r>
      <w:proofErr w:type="gramEnd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2019–2024 годах, утвержденной распоряжением Правительства РФ от 31 января 2019 года № 117</w:t>
      </w:r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р. </w:t>
      </w:r>
    </w:p>
    <w:p w:rsidR="00071763" w:rsidRPr="00B14ADE" w:rsidRDefault="00071763" w:rsidP="00B14ADE">
      <w:pPr>
        <w:spacing w:before="100" w:beforeAutospacing="1" w:after="144" w:line="312" w:lineRule="atLeast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14AD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В рамках госпрограмм РФ</w:t>
      </w:r>
    </w:p>
    <w:p w:rsidR="00071763" w:rsidRPr="00B14ADE" w:rsidRDefault="00071763" w:rsidP="00B14ADE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>В последние годы эти подходы реализуются на федеральном уровне путем включения практик гражданского участия в число мер, предусмотренных государственными программами Российской Федерации («Управление государственными финансами и регулирование финансовых рынков»), а также отраслевыми проектами («Формирование комфортной городской среды» и др.). Таким образом, приоритетом для органов власти является уже не традиционный сбор дополнительных сре</w:t>
      </w:r>
      <w:proofErr w:type="gramStart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гр</w:t>
      </w:r>
      <w:proofErr w:type="gramEnd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аждан, а управление экономическим и социальным развитием территорий с использованием инструментов вовлечения граждан в разработку, реализацию и оценку государственных (муниципальных) бюджетных решений. </w:t>
      </w:r>
    </w:p>
    <w:p w:rsidR="00071763" w:rsidRPr="00B14ADE" w:rsidRDefault="00071763" w:rsidP="00B14ADE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 качестве примера законодательного закрепления такой переориентации, на наш взгляд, можно рассматривать новации, внесенные в государственную программу Российской Федерации «Управление государственными финансами и регулирование финансовых рынков» в текущем году. Новая редакция госпрограммы, утвержденная постановлением Правительства РФ от 29 марта 2019 года № 370, устанавливает цели государственной политики, а также общие требования </w:t>
      </w:r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 политике субъектов РФ в сфере реализации программы. В их числе внедрение механизмов, обеспечивающих непосредственное участие граждан в процессах разработки и экспертизы решений, принимаемых Минфином России и подведомственными ему федеральными органами исполнительной власти, а также содействие созданию условия для реализации практики инициативного бюджетирования на уровне субъектов РФ и муниципальных образований. </w:t>
      </w:r>
    </w:p>
    <w:p w:rsidR="00071763" w:rsidRPr="00B14ADE" w:rsidRDefault="00071763" w:rsidP="00B14ADE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 тексте госпрограммы указано, что субъекты РФ не являются ее участниками, но должны обеспечить реализацию общих требований к организации бюджетного процесса и соблюдение общих принципов, установленных бюджетным законодательством. Хотелось бы подчеркнуть, что эти условия не должны восприниматься как некое общее положение, поскольку программа содержит конкретные критерии, по которым в итоге будет оцениваться деятельность на уровне регионов в данном направлении. Так, в число показателей подпрограммы 1 «Обеспечение долгосрочной устойчивости федерального бюджета и повышение эффективности управления общественными финансами» входит показатель 1.4 «Количество субъектов Российской Федерации, утвердивших в составе нормативных правовых актов программы (мероприятия) о реализации на их территории инициативного бюджетирования». Причем, судя по установленным плановым значениям, за шесть лет их количество должно возрасти почти в два раза (2018 год — 33 субъекта РФ, 2024 год — 62 субъекта РФ). </w:t>
      </w:r>
    </w:p>
    <w:p w:rsidR="00071763" w:rsidRPr="00B14ADE" w:rsidRDefault="00071763" w:rsidP="00B14ADE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оценке Научно-исследовательского финансового института Минфина России (НИФИ), в результате проделанной работы в 2018 году в процессы внедрения и развития инициативного бюджетирования было вовлечено более 50 субъектов РФ (в 2017 году — 43, в 2016 году — 27)</w:t>
      </w:r>
      <w:hyperlink r:id="rId7" w:history="1">
        <w:r w:rsidRPr="00B14ADE">
          <w:rPr>
            <w:rFonts w:ascii="Times New Roman" w:eastAsia="Times New Roman" w:hAnsi="Times New Roman" w:cs="Times New Roman"/>
            <w:sz w:val="28"/>
            <w:szCs w:val="28"/>
            <w:vertAlign w:val="superscript"/>
            <w:lang w:eastAsia="ru-RU"/>
          </w:rPr>
          <w:t>[1]</w:t>
        </w:r>
      </w:hyperlink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 информации органов исполнительной власти субъектов РФ, полученной по запросу Минфина России, в 2017 году в 57 регионах на проекты, отобранные с участием</w:t>
      </w:r>
      <w:proofErr w:type="gramEnd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 или с учетом их мнения, было направлено в общей сложности 14,5 миллиарда рублей. Расходы бюджетов субъектов РФ оцениваются в объеме 7,7 миллиарда рублей (2016 год — 5,1 миллиарда), </w:t>
      </w:r>
      <w:proofErr w:type="spellStart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софинансирование</w:t>
      </w:r>
      <w:proofErr w:type="spellEnd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населением и бизнесом составило 1,1 миллиарда рублей (2016 год — 0,7 миллиарда). Общее количество проектов (включая те, реализация которых была продолжена в 2018 году) достигло 15 942 единиц. </w:t>
      </w:r>
    </w:p>
    <w:p w:rsidR="00071763" w:rsidRPr="00B14ADE" w:rsidRDefault="00071763" w:rsidP="00B14ADE">
      <w:pPr>
        <w:spacing w:before="100" w:beforeAutospacing="1" w:after="144" w:line="312" w:lineRule="atLeast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14AD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Победа Якутии</w:t>
      </w:r>
    </w:p>
    <w:p w:rsidR="00071763" w:rsidRPr="00B14ADE" w:rsidRDefault="00071763" w:rsidP="00B14ADE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закономерный успех осуществляемых мер, можно отметить факт признания успешности применяемых практик одного из регионов страны на международном уровне. 27 ноября в рамках международной конференции в Барселоне состоялось объявление победителей наиболее престижного ежегодного конкурса проектов инициативного (</w:t>
      </w:r>
      <w:proofErr w:type="spellStart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партисипаторного</w:t>
      </w:r>
      <w:proofErr w:type="spellEnd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бюджетирования, проводимого международной организацией </w:t>
      </w:r>
      <w:proofErr w:type="spellStart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>International</w:t>
      </w:r>
      <w:proofErr w:type="spellEnd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>Observatory</w:t>
      </w:r>
      <w:proofErr w:type="spellEnd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>on</w:t>
      </w:r>
      <w:proofErr w:type="spellEnd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>Participatory</w:t>
      </w:r>
      <w:proofErr w:type="spellEnd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>Democracy</w:t>
      </w:r>
      <w:proofErr w:type="spellEnd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(IOPD). </w:t>
      </w:r>
    </w:p>
    <w:p w:rsidR="00071763" w:rsidRPr="00B14ADE" w:rsidRDefault="00071763" w:rsidP="00B14ADE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Российская Федерация впервые в истории конкурса приняла в нем участие, свои заявки подало два региона: Санкт-Петербург и Республика Саха (Якутия). Якутия вошла сначала в двадцатку лидеров, а затем и в пятерку лучших практик </w:t>
      </w:r>
      <w:proofErr w:type="spellStart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партисипаторного</w:t>
      </w:r>
      <w:proofErr w:type="spellEnd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бюджетирования в мире в 2018 году. В конкурсе участвовали различные </w:t>
      </w:r>
      <w:proofErr w:type="spellStart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партисипаторные</w:t>
      </w:r>
      <w:proofErr w:type="spellEnd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практики из 65 стран мира. Особенностью практики Якутии является беспрецедентная явка жителей для участия в выдвижении и отборе проектов, их обсуждении, а также сам процесс организации собраний и оповещения их потенциальных участников на удаленных территориях через социальные сети и мессенджеры. </w:t>
      </w:r>
    </w:p>
    <w:p w:rsidR="00071763" w:rsidRPr="00B14ADE" w:rsidRDefault="00071763" w:rsidP="00B14ADE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Комментируя достижения Республики Саха (Якутия) в продвижении инициативного бюджетирования, заместитель министра финансов России А. М. Лавров отметил, что в настоящее время центр новаций в развитии </w:t>
      </w:r>
      <w:proofErr w:type="spellStart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партисипаторных</w:t>
      </w:r>
      <w:proofErr w:type="spellEnd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 находится в России, что привлекает внимание к опыту российских регионов ведущих международных экспертов по данному вопросу. </w:t>
      </w:r>
    </w:p>
    <w:p w:rsidR="00071763" w:rsidRPr="00B14ADE" w:rsidRDefault="00071763" w:rsidP="00B14ADE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Очевидно, что инициативное бюджетирование позволяет эффективно решать наиболее актуальные для конкретных муниципальных образований вопросы местного значения. Учитывая имеющийся опыт, и эксперты, и практики признают, что следующим важным этапом в развитии инициативного бюджетирования в нашей стране станет широкое распространение этого механизма, и в первую очередь в городах. </w:t>
      </w:r>
    </w:p>
    <w:p w:rsidR="00071763" w:rsidRPr="00B14ADE" w:rsidRDefault="00071763" w:rsidP="00B14ADE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Однако следует четко понимать существующую специфику реализации и внедрения инициативного бюджетирования с тем, чтобы максимально эффективно использовать его преимущества и накопленный опыт. Кроме того, как показывает практика, существует довольно много проблемных вопросов, при решении которых возможно использовать совершенно различные подходы, каждый из которых может дать положительный эффект. </w:t>
      </w:r>
    </w:p>
    <w:p w:rsidR="00071763" w:rsidRPr="00B14ADE" w:rsidRDefault="00071763" w:rsidP="00B14ADE">
      <w:pPr>
        <w:spacing w:before="100" w:beforeAutospacing="1" w:after="144" w:line="312" w:lineRule="atLeast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14AD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Из истории</w:t>
      </w:r>
    </w:p>
    <w:p w:rsidR="00071763" w:rsidRPr="00B14ADE" w:rsidRDefault="00071763" w:rsidP="00B14ADE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 применения механизмов самообложения граждан сформировалась в нашей стране достаточно давно. Так, в соответствии с постановлением ЦИК и СНК СССР от 24 августа 1924 года</w:t>
      </w:r>
      <w:hyperlink r:id="rId8" w:history="1">
        <w:r w:rsidRPr="00B14ADE">
          <w:rPr>
            <w:rFonts w:ascii="Times New Roman" w:eastAsia="Times New Roman" w:hAnsi="Times New Roman" w:cs="Times New Roman"/>
            <w:sz w:val="28"/>
            <w:szCs w:val="28"/>
            <w:vertAlign w:val="superscript"/>
            <w:lang w:eastAsia="ru-RU"/>
          </w:rPr>
          <w:t>[2]</w:t>
        </w:r>
      </w:hyperlink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 утвержден принцип добровольности в проведении самообложения. До 1928 года собранные средства относились к неналоговым платежам, поступали в распоряжение земельных обществ и составляли около половины доходной части бюджета территориальной единицы. Следует отметить, что изначально не существовало законодательно установленных форм контроля над расходованием этих средств. </w:t>
      </w:r>
    </w:p>
    <w:p w:rsidR="00071763" w:rsidRPr="00B14ADE" w:rsidRDefault="00071763" w:rsidP="00B14ADE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>Впоследствии, в период 1927–1930 годов, были приняты документы</w:t>
      </w:r>
      <w:hyperlink r:id="rId9" w:history="1">
        <w:r w:rsidRPr="00B14ADE">
          <w:rPr>
            <w:rFonts w:ascii="Times New Roman" w:eastAsia="Times New Roman" w:hAnsi="Times New Roman" w:cs="Times New Roman"/>
            <w:sz w:val="28"/>
            <w:szCs w:val="28"/>
            <w:vertAlign w:val="superscript"/>
            <w:lang w:eastAsia="ru-RU"/>
          </w:rPr>
          <w:t>[3]</w:t>
        </w:r>
      </w:hyperlink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вводящие обязательность самообложения и мониторинга использования </w:t>
      </w:r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средств, а также предусматривающие </w:t>
      </w:r>
      <w:proofErr w:type="gramStart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уплатой средств населением. В конечном итоге средства самообложения были включены в систему прямых налоговых платежей. Порядок использования стал законодательно регулироваться, а поступления направлялись на развитие местных социальных учреждений. </w:t>
      </w:r>
    </w:p>
    <w:p w:rsidR="00071763" w:rsidRPr="00B14ADE" w:rsidRDefault="00071763" w:rsidP="00B14ADE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>В условиях действующего законодательства в соответствии с Федеральным законом № 131</w:t>
      </w:r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ФЗ «Об общих принципах организации местного самоуправления в Российской Федерации» под средствами самообложения понимаются разовые платежи граждан, осуществляемые для решения конкретных вопросов местного значения (статья 56). Решение о введении самообложения и использовании этих сре</w:t>
      </w:r>
      <w:proofErr w:type="gramStart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пр</w:t>
      </w:r>
      <w:proofErr w:type="gramEnd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инимается по результатам местного референдума или на сходе граждан. Размер платежей, за небольшим исключением, устанавливается одинаковым для всех жителей муниципального образования. В настоящее время действует принцип добровольности уплаты этих платежей, что </w:t>
      </w:r>
      <w:proofErr w:type="gramStart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подтверждается</w:t>
      </w:r>
      <w:proofErr w:type="gramEnd"/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том числе и судебными решениями. </w:t>
      </w:r>
    </w:p>
    <w:p w:rsidR="00B14ADE" w:rsidRDefault="00B14ADE" w:rsidP="00B14ADE">
      <w:pPr>
        <w:jc w:val="right"/>
        <w:rPr>
          <w:rFonts w:ascii="PTSans" w:eastAsia="Times New Roman" w:hAnsi="PTSans" w:cs="Times New Roman"/>
          <w:b/>
          <w:bCs/>
          <w:sz w:val="24"/>
          <w:szCs w:val="24"/>
          <w:lang w:eastAsia="ru-RU"/>
        </w:rPr>
      </w:pPr>
    </w:p>
    <w:p w:rsidR="00B14ADE" w:rsidRDefault="00B14ADE" w:rsidP="00B14ADE">
      <w:pPr>
        <w:jc w:val="right"/>
      </w:pPr>
      <w:r w:rsidRPr="00071763">
        <w:rPr>
          <w:rFonts w:ascii="PTSans" w:eastAsia="Times New Roman" w:hAnsi="PTSans" w:cs="Times New Roman"/>
          <w:b/>
          <w:bCs/>
          <w:sz w:val="24"/>
          <w:szCs w:val="24"/>
          <w:lang w:eastAsia="ru-RU"/>
        </w:rPr>
        <w:t>Е</w:t>
      </w:r>
      <w:r>
        <w:rPr>
          <w:rFonts w:ascii="PTSans" w:eastAsia="Times New Roman" w:hAnsi="PTSans" w:cs="Times New Roman"/>
          <w:b/>
          <w:bCs/>
          <w:sz w:val="24"/>
          <w:szCs w:val="24"/>
          <w:lang w:eastAsia="ru-RU"/>
        </w:rPr>
        <w:t>.</w:t>
      </w:r>
      <w:r w:rsidRPr="00071763">
        <w:rPr>
          <w:rFonts w:ascii="PTSans" w:eastAsia="Times New Roman" w:hAnsi="PTSans" w:cs="Times New Roman"/>
          <w:b/>
          <w:bCs/>
          <w:sz w:val="24"/>
          <w:szCs w:val="24"/>
          <w:lang w:eastAsia="ru-RU"/>
        </w:rPr>
        <w:t>В</w:t>
      </w:r>
      <w:r>
        <w:rPr>
          <w:rFonts w:ascii="PTSans" w:eastAsia="Times New Roman" w:hAnsi="PTSans" w:cs="Times New Roman"/>
          <w:b/>
          <w:bCs/>
          <w:sz w:val="24"/>
          <w:szCs w:val="24"/>
          <w:lang w:eastAsia="ru-RU"/>
        </w:rPr>
        <w:t>.</w:t>
      </w:r>
      <w:r>
        <w:rPr>
          <w:rFonts w:ascii="PTSans" w:eastAsia="Times New Roman" w:hAnsi="PTSans" w:cs="Times New Roman"/>
          <w:b/>
          <w:bCs/>
          <w:sz w:val="24"/>
          <w:szCs w:val="24"/>
          <w:lang w:eastAsia="ru-RU"/>
        </w:rPr>
        <w:t xml:space="preserve"> </w:t>
      </w:r>
      <w:r w:rsidRPr="00071763">
        <w:rPr>
          <w:rFonts w:ascii="PTSans" w:eastAsia="Times New Roman" w:hAnsi="PTSans" w:cs="Times New Roman"/>
          <w:b/>
          <w:bCs/>
          <w:sz w:val="24"/>
          <w:szCs w:val="24"/>
          <w:lang w:eastAsia="ru-RU"/>
        </w:rPr>
        <w:t>ЗЕНЦОВА</w:t>
      </w:r>
    </w:p>
    <w:p w:rsidR="00071763" w:rsidRPr="00B14ADE" w:rsidRDefault="00071763" w:rsidP="00B14A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textWrapping" w:clear="all"/>
      </w:r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textWrapping" w:clear="all"/>
      </w:r>
    </w:p>
    <w:p w:rsidR="00071763" w:rsidRPr="00B14ADE" w:rsidRDefault="008420DA" w:rsidP="00B14A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154.35pt;height:.75pt" o:hrpct="330" o:hrstd="t" o:hr="t" fillcolor="#a0a0a0" stroked="f"/>
        </w:pict>
      </w:r>
    </w:p>
    <w:p w:rsidR="00071763" w:rsidRPr="00B14ADE" w:rsidRDefault="008420DA" w:rsidP="00B14ADE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hyperlink r:id="rId10" w:history="1">
        <w:r w:rsidR="00071763" w:rsidRPr="00B14ADE">
          <w:rPr>
            <w:rFonts w:ascii="Times New Roman" w:eastAsia="Times New Roman" w:hAnsi="Times New Roman" w:cs="Times New Roman"/>
            <w:color w:val="005B8B"/>
            <w:sz w:val="28"/>
            <w:szCs w:val="28"/>
            <w:vertAlign w:val="superscript"/>
            <w:lang w:eastAsia="ru-RU"/>
          </w:rPr>
          <w:t>[1]</w:t>
        </w:r>
      </w:hyperlink>
      <w:r w:rsidR="00071763"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Доклад о лучшей практике развития инициативного бюджетирования в субъектах Российской Федерации и муниципальных образованиях // сайт Минфина России — Документы — Официальные. Дата</w:t>
      </w:r>
      <w:r w:rsidR="00071763" w:rsidRPr="00B14AD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071763"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публикации</w:t>
      </w:r>
      <w:r w:rsidR="00071763" w:rsidRPr="00B14AD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06.09.2018. minfin.ru/ru/document/?id_4=124663&amp;area_id=4&amp;page_id=2104&amp;popup=Y# </w:t>
      </w:r>
    </w:p>
    <w:p w:rsidR="00071763" w:rsidRPr="00B14ADE" w:rsidRDefault="008420DA" w:rsidP="00B14ADE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history="1">
        <w:r w:rsidR="00071763" w:rsidRPr="00B14ADE">
          <w:rPr>
            <w:rFonts w:ascii="Times New Roman" w:eastAsia="Times New Roman" w:hAnsi="Times New Roman" w:cs="Times New Roman"/>
            <w:color w:val="005B8B"/>
            <w:sz w:val="28"/>
            <w:szCs w:val="28"/>
            <w:vertAlign w:val="superscript"/>
            <w:lang w:eastAsia="ru-RU"/>
          </w:rPr>
          <w:t>[2]</w:t>
        </w:r>
      </w:hyperlink>
      <w:r w:rsidR="00071763"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самообложении населения для удовлетворения общественных нужд», постановление ЦИК и СНК СССР от 29 августа 1924 года // Собрание законов и распоряжений Рабоче-Крестьянского правительства СССР (СЗ СССР). 1924. № 6. Ст. 69. </w:t>
      </w:r>
    </w:p>
    <w:p w:rsidR="00071763" w:rsidRPr="00B14ADE" w:rsidRDefault="008420DA" w:rsidP="00B14ADE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2" w:history="1">
        <w:r w:rsidR="00071763" w:rsidRPr="00B14ADE">
          <w:rPr>
            <w:rFonts w:ascii="Times New Roman" w:eastAsia="Times New Roman" w:hAnsi="Times New Roman" w:cs="Times New Roman"/>
            <w:color w:val="005B8B"/>
            <w:sz w:val="28"/>
            <w:szCs w:val="28"/>
            <w:vertAlign w:val="superscript"/>
            <w:lang w:eastAsia="ru-RU"/>
          </w:rPr>
          <w:t>[3]</w:t>
        </w:r>
      </w:hyperlink>
      <w:r w:rsidR="00071763"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1. «О самообложении населения», постановление ЦИК и СНК СССР от 24 августа 1927 года // СЗ СССР. 1927. № 51. Ст. 509. </w:t>
      </w:r>
    </w:p>
    <w:p w:rsidR="00071763" w:rsidRPr="00B14ADE" w:rsidRDefault="00071763" w:rsidP="00B14ADE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«О самообложении населения», постановление ЦИК и СНК СССР от 16 августа 1930 года // СЗ СССР. 1930. № 44. Ст. 451. </w:t>
      </w:r>
    </w:p>
    <w:p w:rsidR="00B14ADE" w:rsidRDefault="00B14ADE">
      <w:pPr>
        <w:jc w:val="right"/>
      </w:pPr>
    </w:p>
    <w:sectPr w:rsidR="00B14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Sans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A55"/>
    <w:rsid w:val="00071763"/>
    <w:rsid w:val="00176F6E"/>
    <w:rsid w:val="008420DA"/>
    <w:rsid w:val="00890A55"/>
    <w:rsid w:val="00B1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71763"/>
    <w:pPr>
      <w:spacing w:before="300" w:after="300" w:line="240" w:lineRule="auto"/>
      <w:outlineLvl w:val="0"/>
    </w:pPr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763"/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character" w:styleId="a3">
    <w:name w:val="Hyperlink"/>
    <w:basedOn w:val="a0"/>
    <w:uiPriority w:val="99"/>
    <w:unhideWhenUsed/>
    <w:rsid w:val="00071763"/>
    <w:rPr>
      <w:color w:val="005B8B"/>
      <w:u w:val="single"/>
    </w:rPr>
  </w:style>
  <w:style w:type="paragraph" w:styleId="a4">
    <w:name w:val="Normal (Web)"/>
    <w:basedOn w:val="a"/>
    <w:uiPriority w:val="99"/>
    <w:semiHidden/>
    <w:unhideWhenUsed/>
    <w:rsid w:val="00071763"/>
    <w:pPr>
      <w:spacing w:before="120" w:after="16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14A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4A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71763"/>
    <w:pPr>
      <w:spacing w:before="300" w:after="300" w:line="240" w:lineRule="auto"/>
      <w:outlineLvl w:val="0"/>
    </w:pPr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763"/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character" w:styleId="a3">
    <w:name w:val="Hyperlink"/>
    <w:basedOn w:val="a0"/>
    <w:uiPriority w:val="99"/>
    <w:unhideWhenUsed/>
    <w:rsid w:val="00071763"/>
    <w:rPr>
      <w:color w:val="005B8B"/>
      <w:u w:val="single"/>
    </w:rPr>
  </w:style>
  <w:style w:type="paragraph" w:styleId="a4">
    <w:name w:val="Normal (Web)"/>
    <w:basedOn w:val="a"/>
    <w:uiPriority w:val="99"/>
    <w:semiHidden/>
    <w:unhideWhenUsed/>
    <w:rsid w:val="00071763"/>
    <w:pPr>
      <w:spacing w:before="120" w:after="16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14A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4A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1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5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80446">
          <w:marLeft w:val="30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79551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6934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SUS\Downloads\73.doc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ASUS\Downloads\73.docx" TargetMode="External"/><Relationship Id="rId12" Type="http://schemas.openxmlformats.org/officeDocument/2006/relationships/hyperlink" Target="file:///C:\Users\ASUS\Downloads\73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bujet.ru/article/382189.php" TargetMode="External"/><Relationship Id="rId11" Type="http://schemas.openxmlformats.org/officeDocument/2006/relationships/hyperlink" Target="file:///C:\Users\ASUS\Downloads\73.docx" TargetMode="External"/><Relationship Id="rId5" Type="http://schemas.openxmlformats.org/officeDocument/2006/relationships/image" Target="media/image1.png"/><Relationship Id="rId10" Type="http://schemas.openxmlformats.org/officeDocument/2006/relationships/hyperlink" Target="file:///C:\Users\ASUS\Downloads\73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ASUS\Downloads\73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1744</Words>
  <Characters>9944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Хохлова Анна Юрьевна</cp:lastModifiedBy>
  <cp:revision>3</cp:revision>
  <dcterms:created xsi:type="dcterms:W3CDTF">2019-08-13T13:04:00Z</dcterms:created>
  <dcterms:modified xsi:type="dcterms:W3CDTF">2019-08-13T13:04:00Z</dcterms:modified>
</cp:coreProperties>
</file>