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265" w:rsidRPr="00211265" w:rsidRDefault="00211265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211265" w:rsidRPr="00211265" w:rsidRDefault="00211265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ПОСТАНОВЛЕНИЕ</w:t>
      </w: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13 декабря 2021 г. N 1085-П</w:t>
      </w:r>
    </w:p>
    <w:p w:rsidR="00211265" w:rsidRPr="00211265" w:rsidRDefault="00211265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ОБ УТВЕРЖДЕНИИ НОРМАТИВОВ ФОРМИРОВАНИЯ РАСХОДОВ</w:t>
      </w: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НА СОДЕРЖАНИЕ ОРГАНОВ МЕСТНОГО САМОУПРАВЛЕНИЯ</w:t>
      </w:r>
    </w:p>
    <w:p w:rsidR="00211265" w:rsidRPr="00211265" w:rsidRDefault="0021126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1265" w:rsidRPr="002112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126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от 03.05.2024 </w:t>
            </w:r>
            <w:hyperlink r:id="rId5">
              <w:r w:rsidRPr="00211265">
                <w:rPr>
                  <w:rFonts w:ascii="PT Astra Serif" w:hAnsi="PT Astra Serif"/>
                  <w:sz w:val="28"/>
                  <w:szCs w:val="28"/>
                </w:rPr>
                <w:t>N 352-П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, от 10.01.2025 </w:t>
            </w:r>
            <w:hyperlink r:id="rId6">
              <w:r w:rsidRPr="00211265">
                <w:rPr>
                  <w:rFonts w:ascii="PT Astra Serif" w:hAnsi="PT Astra Serif"/>
                  <w:sz w:val="28"/>
                  <w:szCs w:val="28"/>
                </w:rPr>
                <w:t>N 6-П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В целях реализации </w:t>
      </w:r>
      <w:hyperlink r:id="rId7">
        <w:r w:rsidRPr="00211265">
          <w:rPr>
            <w:rFonts w:ascii="PT Astra Serif" w:hAnsi="PT Astra Serif"/>
            <w:sz w:val="28"/>
            <w:szCs w:val="28"/>
          </w:rPr>
          <w:t>статьи 136</w:t>
        </w:r>
      </w:hyperlink>
      <w:r w:rsidRPr="00211265">
        <w:rPr>
          <w:rFonts w:ascii="PT Astra Serif" w:hAnsi="PT Astra Serif"/>
          <w:sz w:val="28"/>
          <w:szCs w:val="28"/>
        </w:rPr>
        <w:t xml:space="preserve"> Бюджетного кодекса Российской Федерации и </w:t>
      </w:r>
      <w:hyperlink r:id="rId8">
        <w:r w:rsidRPr="00211265">
          <w:rPr>
            <w:rFonts w:ascii="PT Astra Serif" w:hAnsi="PT Astra Serif"/>
            <w:sz w:val="28"/>
            <w:szCs w:val="28"/>
          </w:rPr>
          <w:t>статьи 2</w:t>
        </w:r>
      </w:hyperlink>
      <w:r w:rsidRPr="00211265">
        <w:rPr>
          <w:rFonts w:ascii="PT Astra Serif" w:hAnsi="PT Astra Serif"/>
          <w:sz w:val="28"/>
          <w:szCs w:val="28"/>
        </w:rPr>
        <w:t xml:space="preserve"> Закона Саратовской области "О бюджетном процессе в Саратовской области" Правительство Саратовской области постановляет: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1. Утвердить: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9">
        <w:r w:rsidRPr="00211265">
          <w:rPr>
            <w:rFonts w:ascii="PT Astra Serif" w:hAnsi="PT Astra Serif"/>
            <w:sz w:val="28"/>
            <w:szCs w:val="28"/>
          </w:rPr>
          <w:t>методику</w:t>
        </w:r>
      </w:hyperlink>
      <w:r w:rsidRPr="00211265">
        <w:rPr>
          <w:rFonts w:ascii="PT Astra Serif" w:hAnsi="PT Astra Serif"/>
          <w:sz w:val="28"/>
          <w:szCs w:val="28"/>
        </w:rPr>
        <w:t xml:space="preserve"> расчета нормативов формирования расходов на содержание органов местного самоуправления муниципальных районов (муниципальных округов, городских округов) области (приложение N 1);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(в ред. </w:t>
      </w:r>
      <w:hyperlink r:id="rId9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10.01.2025 N 6-П)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17">
        <w:r w:rsidRPr="00211265">
          <w:rPr>
            <w:rFonts w:ascii="PT Astra Serif" w:hAnsi="PT Astra Serif"/>
            <w:sz w:val="28"/>
            <w:szCs w:val="28"/>
          </w:rPr>
          <w:t>методику</w:t>
        </w:r>
      </w:hyperlink>
      <w:r w:rsidRPr="00211265">
        <w:rPr>
          <w:rFonts w:ascii="PT Astra Serif" w:hAnsi="PT Astra Serif"/>
          <w:sz w:val="28"/>
          <w:szCs w:val="28"/>
        </w:rPr>
        <w:t xml:space="preserve"> расчета нормативов формирования расходов на содержание органов местного самоуправления поселений области (приложение N 2);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97">
        <w:r w:rsidRPr="00211265">
          <w:rPr>
            <w:rFonts w:ascii="PT Astra Serif" w:hAnsi="PT Astra Serif"/>
            <w:sz w:val="28"/>
            <w:szCs w:val="28"/>
          </w:rPr>
          <w:t>нормативы</w:t>
        </w:r>
      </w:hyperlink>
      <w:r w:rsidRPr="00211265">
        <w:rPr>
          <w:rFonts w:ascii="PT Astra Serif" w:hAnsi="PT Astra Serif"/>
          <w:sz w:val="28"/>
          <w:szCs w:val="28"/>
        </w:rPr>
        <w:t xml:space="preserve"> формирования расходов на содержание органов местного самоуправления муниципальных районов (муниципальных округов, городских округов) области (приложение N 3);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(в ред. </w:t>
      </w:r>
      <w:hyperlink r:id="rId10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10.01.2025 N 6-П)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49">
        <w:r w:rsidRPr="00211265">
          <w:rPr>
            <w:rFonts w:ascii="PT Astra Serif" w:hAnsi="PT Astra Serif"/>
            <w:sz w:val="28"/>
            <w:szCs w:val="28"/>
          </w:rPr>
          <w:t>нормативы</w:t>
        </w:r>
      </w:hyperlink>
      <w:r w:rsidRPr="00211265">
        <w:rPr>
          <w:rFonts w:ascii="PT Astra Serif" w:hAnsi="PT Astra Serif"/>
          <w:sz w:val="28"/>
          <w:szCs w:val="28"/>
        </w:rPr>
        <w:t xml:space="preserve"> формирования расходов на содержание органов местного самоуправления поселений области (приложение N 4).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211265">
        <w:rPr>
          <w:rFonts w:ascii="PT Astra Serif" w:hAnsi="PT Astra Serif"/>
          <w:sz w:val="28"/>
          <w:szCs w:val="28"/>
        </w:rPr>
        <w:t>Нормативы формирования расходов на содержание органов местного самоуправления области устанавливаются в отношении муниципальных образований, в бюджетах которых доля дотаций из других бюджетов бюджетной системы Российской Федерации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211265">
        <w:rPr>
          <w:rFonts w:ascii="PT Astra Serif" w:hAnsi="PT Astra Serif"/>
          <w:sz w:val="28"/>
          <w:szCs w:val="28"/>
        </w:rPr>
        <w:t xml:space="preserve">самоуправления) и (или) налоговых доходов по дополнительным нормативам отчислений в размере, не превышающем расчетного объема </w:t>
      </w:r>
      <w:r w:rsidRPr="00211265">
        <w:rPr>
          <w:rFonts w:ascii="PT Astra Serif" w:hAnsi="PT Astra Serif"/>
          <w:sz w:val="28"/>
          <w:szCs w:val="28"/>
        </w:rPr>
        <w:lastRenderedPageBreak/>
        <w:t>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в соответствии с соглашениями, заключенными муниципальным районом и поселениями.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(в ред. </w:t>
      </w:r>
      <w:hyperlink r:id="rId11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03.05.2024 N 352-П)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11265">
        <w:rPr>
          <w:rFonts w:ascii="PT Astra Serif" w:hAnsi="PT Astra Serif"/>
          <w:sz w:val="28"/>
          <w:szCs w:val="28"/>
        </w:rPr>
        <w:t xml:space="preserve">Для муниципальных образований, у которых фактический объем расходов на содержание органов местного самоуправления превышает объем расходов на содержание органов местного самоуправления, определенный в соответствии с нормативами, утвержденными </w:t>
      </w:r>
      <w:hyperlink w:anchor="P197">
        <w:r w:rsidRPr="00211265">
          <w:rPr>
            <w:rFonts w:ascii="PT Astra Serif" w:hAnsi="PT Astra Serif"/>
            <w:sz w:val="28"/>
            <w:szCs w:val="28"/>
          </w:rPr>
          <w:t>приложениями N 3</w:t>
        </w:r>
      </w:hyperlink>
      <w:r w:rsidRPr="00211265">
        <w:rPr>
          <w:rFonts w:ascii="PT Astra Serif" w:hAnsi="PT Astra Serif"/>
          <w:sz w:val="28"/>
          <w:szCs w:val="28"/>
        </w:rPr>
        <w:t xml:space="preserve">, </w:t>
      </w:r>
      <w:hyperlink w:anchor="P349">
        <w:r w:rsidRPr="00211265">
          <w:rPr>
            <w:rFonts w:ascii="PT Astra Serif" w:hAnsi="PT Astra Serif"/>
            <w:sz w:val="28"/>
            <w:szCs w:val="28"/>
          </w:rPr>
          <w:t>4</w:t>
        </w:r>
      </w:hyperlink>
      <w:r w:rsidRPr="00211265">
        <w:rPr>
          <w:rFonts w:ascii="PT Astra Serif" w:hAnsi="PT Astra Serif"/>
          <w:sz w:val="28"/>
          <w:szCs w:val="28"/>
        </w:rPr>
        <w:t xml:space="preserve"> к настоящему постановлению, устанавливается переходный период, в течение которого норматив расходов на содержание органов местного самоуправления на 2021 - 2023 годы устанавливается в размере планового объема расходов на содержание органов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местного самоуправления, рассчитанного по состоянию на 1 декабря 2021 года на основании нормативов, действовавших на указанную дату.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4. Признать утратившими силу: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 мая 2011 года N 240-П "Об утверждении нормативов формирования расходов на содержание органов местного самоуправления";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марта 2013 года N 114-П "О внесении изменений в постановление Правительства Саратовской области от 10 мая 2011 года N 240-П";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17 июня 2014 года N 348-П "О внесении изменений в постановление Правительства Саратовской области от 10 мая 2011 года N 240-П";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24 июля 2015 года N 374-П "О внесении изменений в постановление Правительства Саратовской области от 10 мая 2011 года N 240-П";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15 марта 2016 года N 111-П "О внесении изменений в постановление Правительства Саратовской области от 10 мая 2011 года N 240-П";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31 июля 2017 года N 387-П "О внесении изменений в постановление Правительства Саратовской области от 10 мая 2011 года N 240-П";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21126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29 января 2019 </w:t>
      </w:r>
      <w:r w:rsidRPr="00211265">
        <w:rPr>
          <w:rFonts w:ascii="PT Astra Serif" w:hAnsi="PT Astra Serif"/>
          <w:sz w:val="28"/>
          <w:szCs w:val="28"/>
        </w:rPr>
        <w:lastRenderedPageBreak/>
        <w:t>года N 47-П "О внесении изменений в постановление Правительства Саратовской области от 10 мая 2011 года N 240-П".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32"/>
      <w:bookmarkEnd w:id="0"/>
      <w:r w:rsidRPr="00211265">
        <w:rPr>
          <w:rFonts w:ascii="PT Astra Serif" w:hAnsi="PT Astra Serif"/>
          <w:sz w:val="28"/>
          <w:szCs w:val="28"/>
        </w:rPr>
        <w:t xml:space="preserve">6. Настоящее постановление вступает в силу со дня его официального опубликования, при этом нормы </w:t>
      </w:r>
      <w:hyperlink w:anchor="P301">
        <w:r w:rsidRPr="00211265">
          <w:rPr>
            <w:rFonts w:ascii="PT Astra Serif" w:hAnsi="PT Astra Serif"/>
            <w:sz w:val="28"/>
            <w:szCs w:val="28"/>
          </w:rPr>
          <w:t>пункта 32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приложения N 3 и </w:t>
      </w:r>
      <w:hyperlink w:anchor="P930">
        <w:r w:rsidRPr="00211265">
          <w:rPr>
            <w:rFonts w:ascii="PT Astra Serif" w:hAnsi="PT Astra Serif"/>
            <w:sz w:val="28"/>
            <w:szCs w:val="28"/>
          </w:rPr>
          <w:t>пункта 32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приложения N 4 утрачивают силу с 1 января 2022 года.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Р.В.БУСАРГИН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Pr="00211265" w:rsidRDefault="0021126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Утверждена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постановлением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13 декабря 2021 г. N 1085-П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9"/>
      <w:bookmarkEnd w:id="1"/>
      <w:r w:rsidRPr="00211265">
        <w:rPr>
          <w:rFonts w:ascii="PT Astra Serif" w:hAnsi="PT Astra Serif"/>
          <w:sz w:val="28"/>
          <w:szCs w:val="28"/>
        </w:rPr>
        <w:t>МЕТОДИКА</w:t>
      </w:r>
    </w:p>
    <w:p w:rsidR="00211265" w:rsidRPr="00211265" w:rsidRDefault="00211265" w:rsidP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РАСЧЕТА НОРМАТИВОВ ФОРМИРОВАНИЯ РАСХОДОВ НА СОДЕРЖАНИЕ ОРГАНОВ МЕСТНОГО САМОУПРАВЛЕНИЯ МУНИЦИПАЛЬНЫХ РАЙОНОВ (МУНИЦИПАЛЬНЫХ ОКРУГОВ, ГОРОДСКИХ ОКРУГОВ) ОБЛАСТИ</w:t>
      </w:r>
    </w:p>
    <w:p w:rsidR="00211265" w:rsidRPr="00211265" w:rsidRDefault="0021126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1265" w:rsidRPr="002112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126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от 03.05.2024 </w:t>
            </w:r>
            <w:hyperlink r:id="rId19">
              <w:r w:rsidRPr="00211265">
                <w:rPr>
                  <w:rFonts w:ascii="PT Astra Serif" w:hAnsi="PT Astra Serif"/>
                  <w:sz w:val="28"/>
                  <w:szCs w:val="28"/>
                </w:rPr>
                <w:t>N 352-П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, от 10.01.2025 </w:t>
            </w:r>
            <w:hyperlink r:id="rId20">
              <w:r w:rsidRPr="00211265">
                <w:rPr>
                  <w:rFonts w:ascii="PT Astra Serif" w:hAnsi="PT Astra Serif"/>
                  <w:sz w:val="28"/>
                  <w:szCs w:val="28"/>
                </w:rPr>
                <w:t>N 6-П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1. Настоящая методика определяет порядок расчета нормативов формирования расходов на содержание органов местного самоуправления муниципальных районов (муниципальных округов, городских округов) области (далее - органы местного самоуправления), ограничивающих максимальный размер расходов муниципального образования на указанные цели (далее - норматив).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(</w:t>
      </w:r>
      <w:proofErr w:type="gramStart"/>
      <w:r w:rsidRPr="00211265">
        <w:rPr>
          <w:rFonts w:ascii="PT Astra Serif" w:hAnsi="PT Astra Serif"/>
          <w:sz w:val="28"/>
          <w:szCs w:val="28"/>
        </w:rPr>
        <w:t>в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ред. </w:t>
      </w:r>
      <w:hyperlink r:id="rId21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10.01.2025 N 6-П)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2. Размер норматива устанавливается как коэффициент к сумме налоговых и неналоговых доходов консолидированного бюджета муниципального района (бюджета муниципального округа, городского округа) области в соответствующем финансовом году.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(</w:t>
      </w:r>
      <w:proofErr w:type="gramStart"/>
      <w:r w:rsidRPr="00211265">
        <w:rPr>
          <w:rFonts w:ascii="PT Astra Serif" w:hAnsi="PT Astra Serif"/>
          <w:sz w:val="28"/>
          <w:szCs w:val="28"/>
        </w:rPr>
        <w:t>в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ред. </w:t>
      </w:r>
      <w:hyperlink r:id="rId22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10.01.2025 N 6-П)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3. При определении объема расходов на содержание органов местного самоуправления не учитываются расходы: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на погашение просроченной кредиторской задолженности прошлых лет на указанные цели;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на осуществление отдельных государственных полномочий и полномочий поселений, переданных органам местного самоуправления в установленном порядке, финансовое обеспечение которых осуществляется за счет межбюджетных трансфертов из соответствующих бюджетов;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на осуществление отдельных государственных полномочий и полномочий поселений, переданных органам местного самоуправления, в </w:t>
      </w:r>
      <w:r w:rsidRPr="00211265">
        <w:rPr>
          <w:rFonts w:ascii="PT Astra Serif" w:hAnsi="PT Astra Serif"/>
          <w:sz w:val="28"/>
          <w:szCs w:val="28"/>
        </w:rPr>
        <w:lastRenderedPageBreak/>
        <w:t xml:space="preserve">случаях и порядке, предусмотренных </w:t>
      </w:r>
      <w:hyperlink r:id="rId23">
        <w:r w:rsidRPr="00211265">
          <w:rPr>
            <w:rFonts w:ascii="PT Astra Serif" w:hAnsi="PT Astra Serif"/>
            <w:sz w:val="28"/>
            <w:szCs w:val="28"/>
          </w:rPr>
          <w:t>абзацем четвертым части 4 статьи 15</w:t>
        </w:r>
      </w:hyperlink>
      <w:r w:rsidRPr="00211265">
        <w:rPr>
          <w:rFonts w:ascii="PT Astra Serif" w:hAnsi="PT Astra Serif"/>
          <w:sz w:val="28"/>
          <w:szCs w:val="28"/>
        </w:rPr>
        <w:t xml:space="preserve"> и </w:t>
      </w:r>
      <w:hyperlink r:id="rId24">
        <w:r w:rsidRPr="00211265">
          <w:rPr>
            <w:rFonts w:ascii="PT Astra Serif" w:hAnsi="PT Astra Serif"/>
            <w:sz w:val="28"/>
            <w:szCs w:val="28"/>
          </w:rPr>
          <w:t>абзацем вторым части 5 статьи 19</w:t>
        </w:r>
      </w:hyperlink>
      <w:r w:rsidRPr="00211265">
        <w:rPr>
          <w:rFonts w:ascii="PT Astra Serif" w:hAnsi="PT Astra Serif"/>
          <w:sz w:val="28"/>
          <w:szCs w:val="28"/>
        </w:rPr>
        <w:t xml:space="preserve"> Федерального закона "Об общих принципах организации местного самоуправления в Российской Федерации", за счет собственных материальных ресурсов и финансовых средств;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на осуществление полномочий местной администрации поселения, являющегося административным центром муниципального района, в случаях, предусмотренных </w:t>
      </w:r>
      <w:hyperlink r:id="rId25">
        <w:r w:rsidRPr="00211265">
          <w:rPr>
            <w:rFonts w:ascii="PT Astra Serif" w:hAnsi="PT Astra Serif"/>
            <w:sz w:val="28"/>
            <w:szCs w:val="28"/>
          </w:rPr>
          <w:t>абзацем третьим части 2 статьи 34</w:t>
        </w:r>
      </w:hyperlink>
      <w:r w:rsidRPr="00211265">
        <w:rPr>
          <w:rFonts w:ascii="PT Astra Serif" w:hAnsi="PT Astra Serif"/>
          <w:sz w:val="28"/>
          <w:szCs w:val="28"/>
        </w:rPr>
        <w:t xml:space="preserve"> Федерального закона "Об общих принципах организации местного самоуправления в Российской Федерации";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осуществляемые за счет межбюджетных трансфертов,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(абзац введен </w:t>
      </w:r>
      <w:hyperlink r:id="rId26">
        <w:r w:rsidRPr="0021126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03.05.2024 N 352-П)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4. В целях применения настоящей методики муниципальные образования области распределяются по группам в зависимости от статуса (муниципальные районы, муниципальные округа, городские округа) и численности населения: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(в ред. </w:t>
      </w:r>
      <w:hyperlink r:id="rId27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10.01.2025 N 6-П)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до 13000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13001 до 20000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20001 до 30000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30001 до 43000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43001 до 80000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80001 до 500000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500001 человека и более.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5. Расчет норматива производится по данным статистической отчетности </w:t>
      </w:r>
      <w:r w:rsidRPr="00211265">
        <w:rPr>
          <w:rFonts w:ascii="PT Astra Serif" w:hAnsi="PT Astra Serif"/>
          <w:sz w:val="28"/>
          <w:szCs w:val="28"/>
        </w:rPr>
        <w:lastRenderedPageBreak/>
        <w:t>и отчетности муниципальных образований области за год, предшествующий планируемому периоду,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211265">
        <w:rPr>
          <w:rFonts w:ascii="PT Astra Serif" w:hAnsi="PT Astra Serif"/>
          <w:sz w:val="28"/>
          <w:szCs w:val="28"/>
        </w:rPr>
        <w:t>Д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>, где: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норматив формирования расходов на содержание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расходы на содержание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Д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налоговые и неналоговые доходы консолидированного бюджета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области, за исключением доходов от продажи материальных и нематериальных.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Расходы на содержание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 рассчитываются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r w:rsidRPr="00211265">
        <w:rPr>
          <w:rFonts w:ascii="PT Astra Serif" w:hAnsi="PT Astra Serif"/>
          <w:sz w:val="28"/>
          <w:szCs w:val="28"/>
          <w:vertAlign w:val="subscript"/>
        </w:rPr>
        <w:t>зпi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инд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зп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нач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пр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12, где: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r w:rsidRPr="00211265">
        <w:rPr>
          <w:rFonts w:ascii="PT Astra Serif" w:hAnsi="PT Astra Serif"/>
          <w:sz w:val="28"/>
          <w:szCs w:val="28"/>
          <w:vertAlign w:val="subscript"/>
        </w:rPr>
        <w:t>зп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среднемесячная начисленная заработная плата работников организаций по i-</w:t>
      </w:r>
      <w:proofErr w:type="spellStart"/>
      <w:r w:rsidRPr="00211265">
        <w:rPr>
          <w:rFonts w:ascii="PT Astra Serif" w:hAnsi="PT Astra Serif"/>
          <w:sz w:val="28"/>
          <w:szCs w:val="28"/>
        </w:rPr>
        <w:t>му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муниципальному образованию области за год, предшествующий планируемому;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инд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коэффициент индексации заработной платы на прогнозный уровень инфляции;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зп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корректирующий коэффициент заработной платы работников органов местного самоуправления, равный 1,2;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количество условных штатных единиц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нач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коэффициент начислений на оплату труда, равный 1,302;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пр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коэффициент расходов на обеспечение деятельности органов местного самоуправления (кроме расходов на оплату труда с начислениями), равный 1,2;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12 - количество месяцев в году.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Количество условных штатных единиц (округление производится в большую сторону до целых единиц)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 (за исключением муниципальных образований с численностью постоянного населения свыше 500,0 тыс. человек) рассчитывается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ЧПН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(Ч</w:t>
      </w:r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r w:rsidRPr="00211265">
        <w:rPr>
          <w:rFonts w:ascii="PT Astra Serif" w:hAnsi="PT Astra Serif"/>
          <w:sz w:val="28"/>
          <w:szCs w:val="28"/>
        </w:rPr>
        <w:t xml:space="preserve"> / ЧПН</w:t>
      </w:r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r w:rsidRPr="00211265">
        <w:rPr>
          <w:rFonts w:ascii="PT Astra Serif" w:hAnsi="PT Astra Serif"/>
          <w:sz w:val="28"/>
          <w:szCs w:val="28"/>
        </w:rPr>
        <w:t>), где: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ЧПН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численность постоянного населения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 на конец отчетного года;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ЧПН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- численность постоянного населения по j-й группе муниципальных образований области на конец отчетного года;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- штатная численность работников органов местного самоуправления по j-й группе муниципальных образований области на конец отчетного периода.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Для муниципальных образований с численностью постоянного населения свыше 500,0 тыс. человек </w:t>
      </w: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рассчитывается исходя из норматива - 1 условная штатная единица на 1 тысячу человек постоянного населения.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Минимальная условная штатная численность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устанавливается в размере 17 штатных единиц.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Количество условных штатных единиц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образования, входящего в j-</w:t>
      </w:r>
      <w:proofErr w:type="spellStart"/>
      <w:r w:rsidRPr="00211265">
        <w:rPr>
          <w:rFonts w:ascii="PT Astra Serif" w:hAnsi="PT Astra Serif"/>
          <w:sz w:val="28"/>
          <w:szCs w:val="28"/>
        </w:rPr>
        <w:t>ую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группу муниципальных образований, не может быть меньше количества условных штатных </w:t>
      </w:r>
      <w:proofErr w:type="gramStart"/>
      <w:r w:rsidRPr="00211265">
        <w:rPr>
          <w:rFonts w:ascii="PT Astra Serif" w:hAnsi="PT Astra Serif"/>
          <w:sz w:val="28"/>
          <w:szCs w:val="28"/>
        </w:rPr>
        <w:t>единиц работников органов местного самоуправления муниципального образования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с меньшей численностью постоянного населения, входящего в предыдущую группу муниципальных образований j-1.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Pr="00211265" w:rsidRDefault="0021126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Утверждена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постановлением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13 декабря 2021 г. N 1085-П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17"/>
      <w:bookmarkEnd w:id="2"/>
      <w:r w:rsidRPr="00211265">
        <w:rPr>
          <w:rFonts w:ascii="PT Astra Serif" w:hAnsi="PT Astra Serif"/>
          <w:sz w:val="28"/>
          <w:szCs w:val="28"/>
        </w:rPr>
        <w:t>МЕТОДИКА</w:t>
      </w:r>
    </w:p>
    <w:p w:rsidR="00211265" w:rsidRPr="00211265" w:rsidRDefault="00211265" w:rsidP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РАСЧЕТА НОРМАТИВОВ ФОРМИРОВАНИЯ РАСХОДОВ НА СОДЕРЖАНИЕ ОРГАНОВ МЕСТНОГО САМОУПРАВЛЕНИЯ ПОСЕЛЕНИЙ ОБЛАСТИ</w:t>
      </w:r>
    </w:p>
    <w:p w:rsidR="00211265" w:rsidRPr="00211265" w:rsidRDefault="0021126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1265" w:rsidRPr="002112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8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от 03.05.2024 N 352-П)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1. Настоящая методика определяет порядок расчета нормативов формирования расходов на содержание органов местного самоуправления поселений области (далее - органы местного самоуправления), ограничивающих максимальный размер расходов поселения области на указанные цели (далее - норматив).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2. Размер норматива устанавливается как коэффициент к сумме налоговых и неналоговых доходов бюджета поселения области в соответствующем финансовом году.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3. При определении объема расходов на содержание органов местного самоуправления не учитываются расходы: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на погашение просроченной кредиторской задолженности прошлых лет на указанные цели;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на осуществление отдельных государственных полномочий и полномочий муниципальных районов, переданных органам местного самоуправления в установленном порядке, финансовое обеспечение которых осуществляется за счет межбюджетных трансфертов из соответствующих бюджетов;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на осуществление отдельных государственных полномочий и полномочий муниципальных районов, переданных органам местного самоуправления, в случаях и порядке, предусмотренных </w:t>
      </w:r>
      <w:hyperlink r:id="rId29">
        <w:r w:rsidRPr="00211265">
          <w:rPr>
            <w:rFonts w:ascii="PT Astra Serif" w:hAnsi="PT Astra Serif"/>
            <w:sz w:val="28"/>
            <w:szCs w:val="28"/>
          </w:rPr>
          <w:t>абзацем четвертым части 4 статьи 15</w:t>
        </w:r>
      </w:hyperlink>
      <w:r w:rsidRPr="00211265">
        <w:rPr>
          <w:rFonts w:ascii="PT Astra Serif" w:hAnsi="PT Astra Serif"/>
          <w:sz w:val="28"/>
          <w:szCs w:val="28"/>
        </w:rPr>
        <w:t xml:space="preserve"> и </w:t>
      </w:r>
      <w:hyperlink r:id="rId30">
        <w:r w:rsidRPr="00211265">
          <w:rPr>
            <w:rFonts w:ascii="PT Astra Serif" w:hAnsi="PT Astra Serif"/>
            <w:sz w:val="28"/>
            <w:szCs w:val="28"/>
          </w:rPr>
          <w:t>абзацем вторым части 5 статьи 19</w:t>
        </w:r>
      </w:hyperlink>
      <w:r w:rsidRPr="00211265">
        <w:rPr>
          <w:rFonts w:ascii="PT Astra Serif" w:hAnsi="PT Astra Serif"/>
          <w:sz w:val="28"/>
          <w:szCs w:val="28"/>
        </w:rPr>
        <w:t xml:space="preserve"> Федерального закона "Об общих принципах организации местного самоуправления в Российской Федерации", за счет собственных материальных ресурсов и финансовых средств;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1265">
        <w:rPr>
          <w:rFonts w:ascii="PT Astra Serif" w:hAnsi="PT Astra Serif"/>
          <w:sz w:val="28"/>
          <w:szCs w:val="28"/>
        </w:rPr>
        <w:lastRenderedPageBreak/>
        <w:t>осуществляемые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за счет межбюджетных трансфертов,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(абзац введен </w:t>
      </w:r>
      <w:hyperlink r:id="rId31">
        <w:r w:rsidRPr="0021126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03.05.2024 N 352-П)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4. В целях применения настоящей Методики поселения области распределяются по группам в зависимости от численности населения: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до 500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501 до 1000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1001 до 2000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2001 до 3000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3001 до 5000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5001 до 8000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8001 до 10000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10001 до 15000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15001 до 20000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20001 до 25000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25001 до 50000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50001 до 100000 человек включительно;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свыше 100000 человек.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lastRenderedPageBreak/>
        <w:t>5. Расчет норматива производится по данным статистической отчетности и отчетности поселений за год, предшествующий планируемому периоду,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211265">
        <w:rPr>
          <w:rFonts w:ascii="PT Astra Serif" w:hAnsi="PT Astra Serif"/>
          <w:sz w:val="28"/>
          <w:szCs w:val="28"/>
        </w:rPr>
        <w:t>Д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>, где: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норматив формирования расходов на содержание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 области;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расходы на содержание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 области;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Д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налоговые и неналоговые доходы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 области, за исключением доходов от продажи материальных и нематериальных активов.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Расходы на содержание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 области рассчитываются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r w:rsidRPr="00211265">
        <w:rPr>
          <w:rFonts w:ascii="PT Astra Serif" w:hAnsi="PT Astra Serif"/>
          <w:sz w:val="28"/>
          <w:szCs w:val="28"/>
          <w:vertAlign w:val="subscript"/>
        </w:rPr>
        <w:t>зпi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инд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зп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нач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пр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12, где: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Р</w:t>
      </w:r>
      <w:r w:rsidRPr="00211265">
        <w:rPr>
          <w:rFonts w:ascii="PT Astra Serif" w:hAnsi="PT Astra Serif"/>
          <w:sz w:val="28"/>
          <w:szCs w:val="28"/>
          <w:vertAlign w:val="subscript"/>
        </w:rPr>
        <w:t>зп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среднемесячная начисленная заработная плата работников организаций по муниципальному району, в состав которого входит i-</w:t>
      </w:r>
      <w:proofErr w:type="spellStart"/>
      <w:r w:rsidRPr="00211265">
        <w:rPr>
          <w:rFonts w:ascii="PT Astra Serif" w:hAnsi="PT Astra Serif"/>
          <w:sz w:val="28"/>
          <w:szCs w:val="28"/>
        </w:rPr>
        <w:t>ое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поселение области, за год, предшествующий планируемому периоду;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инд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коэффициент индексации заработной платы работников органов местного самоуправления на прогнозный уровень инфляции;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количество условных штатных единиц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области;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нач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коэффициент начислений на оплату труда, равный 1,302;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пр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- коэффициент расходов на обеспечение деятельности органов местного самоуправления (кроме расходов на оплату труда с начислениями), равный 1,2;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12 - количество месяцев в году.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Количество условных штатных единиц (округление производится в большую сторону до целых единиц)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 (за исключением поселений с численностью постоянного населения свыше 10,0 тыс. человек) рассчитывается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ЧПН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(Ч</w:t>
      </w:r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r w:rsidRPr="00211265">
        <w:rPr>
          <w:rFonts w:ascii="PT Astra Serif" w:hAnsi="PT Astra Serif"/>
          <w:sz w:val="28"/>
          <w:szCs w:val="28"/>
        </w:rPr>
        <w:t xml:space="preserve"> / ЧПН</w:t>
      </w:r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r w:rsidRPr="00211265">
        <w:rPr>
          <w:rFonts w:ascii="PT Astra Serif" w:hAnsi="PT Astra Serif"/>
          <w:sz w:val="28"/>
          <w:szCs w:val="28"/>
        </w:rPr>
        <w:t xml:space="preserve">) + </w:t>
      </w: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r w:rsidRPr="00211265">
        <w:rPr>
          <w:rFonts w:ascii="PT Astra Serif" w:hAnsi="PT Astra Serif"/>
          <w:sz w:val="28"/>
          <w:szCs w:val="28"/>
          <w:vertAlign w:val="subscript"/>
        </w:rPr>
        <w:t>доп</w:t>
      </w:r>
      <w:proofErr w:type="spellEnd"/>
      <w:r w:rsidRPr="00211265">
        <w:rPr>
          <w:rFonts w:ascii="PT Astra Serif" w:hAnsi="PT Astra Serif"/>
          <w:sz w:val="28"/>
          <w:szCs w:val="28"/>
          <w:vertAlign w:val="subscript"/>
        </w:rPr>
        <w:t xml:space="preserve"> i</w:t>
      </w:r>
      <w:r w:rsidRPr="00211265">
        <w:rPr>
          <w:rFonts w:ascii="PT Astra Serif" w:hAnsi="PT Astra Serif"/>
          <w:sz w:val="28"/>
          <w:szCs w:val="28"/>
        </w:rPr>
        <w:t>, где: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ЧПН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- численность постоянного населения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 области на конец отчетного года;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lastRenderedPageBreak/>
        <w:t>ЧПН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- численность постоянного населения по j-й группе поселений области на конец отчетного года;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J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- штатная численность работников органов местного самоуправления по j-й группе поселений области на конец отчетного периода;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r w:rsidRPr="00211265">
        <w:rPr>
          <w:rFonts w:ascii="PT Astra Serif" w:hAnsi="PT Astra Serif"/>
          <w:sz w:val="28"/>
          <w:szCs w:val="28"/>
          <w:vertAlign w:val="subscript"/>
        </w:rPr>
        <w:t>доп</w:t>
      </w:r>
      <w:proofErr w:type="spellEnd"/>
      <w:r w:rsidRPr="00211265">
        <w:rPr>
          <w:rFonts w:ascii="PT Astra Serif" w:hAnsi="PT Astra Serif"/>
          <w:sz w:val="28"/>
          <w:szCs w:val="28"/>
          <w:vertAlign w:val="subscript"/>
        </w:rPr>
        <w:t xml:space="preserve"> i</w:t>
      </w:r>
      <w:r w:rsidRPr="00211265">
        <w:rPr>
          <w:rFonts w:ascii="PT Astra Serif" w:hAnsi="PT Astra Serif"/>
          <w:sz w:val="28"/>
          <w:szCs w:val="28"/>
        </w:rPr>
        <w:t xml:space="preserve"> - дополнительная численность по i-</w:t>
      </w:r>
      <w:proofErr w:type="spellStart"/>
      <w:r w:rsidRPr="00211265">
        <w:rPr>
          <w:rFonts w:ascii="PT Astra Serif" w:hAnsi="PT Astra Serif"/>
          <w:sz w:val="28"/>
          <w:szCs w:val="28"/>
        </w:rPr>
        <w:t>му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поселению рассчитывается исходя из 0,5 условной штатной единицы на каждый населенный пункт (кроме хуторов) сверх шести, входящих в состав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поселения, но не более шести условных штатных единиц.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Для поселений с численностью постоянного населения свыше 10,0 тыс. человек </w:t>
      </w: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рассчитывается по формуле: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proofErr w:type="gramStart"/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211265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211265">
        <w:rPr>
          <w:rFonts w:ascii="PT Astra Serif" w:hAnsi="PT Astra Serif"/>
          <w:sz w:val="28"/>
          <w:szCs w:val="28"/>
        </w:rPr>
        <w:t>ЧПН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числ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/ 1000 + </w:t>
      </w:r>
      <w:proofErr w:type="spellStart"/>
      <w:r w:rsidRPr="00211265">
        <w:rPr>
          <w:rFonts w:ascii="PT Astra Serif" w:hAnsi="PT Astra Serif"/>
          <w:sz w:val="28"/>
          <w:szCs w:val="28"/>
        </w:rPr>
        <w:t>Ч</w:t>
      </w:r>
      <w:r w:rsidRPr="00211265">
        <w:rPr>
          <w:rFonts w:ascii="PT Astra Serif" w:hAnsi="PT Astra Serif"/>
          <w:sz w:val="28"/>
          <w:szCs w:val="28"/>
          <w:vertAlign w:val="subscript"/>
        </w:rPr>
        <w:t>доп</w:t>
      </w:r>
      <w:proofErr w:type="spellEnd"/>
      <w:r w:rsidRPr="00211265">
        <w:rPr>
          <w:rFonts w:ascii="PT Astra Serif" w:hAnsi="PT Astra Serif"/>
          <w:sz w:val="28"/>
          <w:szCs w:val="28"/>
          <w:vertAlign w:val="subscript"/>
        </w:rPr>
        <w:t xml:space="preserve"> i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Для муниципальных образований с численностью населения от 10001 до 15000 человек включительно </w:t>
      </w:r>
      <w:proofErr w:type="spellStart"/>
      <w:r w:rsidRPr="00211265">
        <w:rPr>
          <w:rFonts w:ascii="PT Astra Serif" w:hAnsi="PT Astra Serif"/>
          <w:sz w:val="28"/>
          <w:szCs w:val="28"/>
        </w:rPr>
        <w:t>К</w:t>
      </w:r>
      <w:r w:rsidRPr="00211265">
        <w:rPr>
          <w:rFonts w:ascii="PT Astra Serif" w:hAnsi="PT Astra Serif"/>
          <w:sz w:val="28"/>
          <w:szCs w:val="28"/>
          <w:vertAlign w:val="subscript"/>
        </w:rPr>
        <w:t>числ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принимается </w:t>
      </w:r>
      <w:proofErr w:type="gramStart"/>
      <w:r w:rsidRPr="00211265">
        <w:rPr>
          <w:rFonts w:ascii="PT Astra Serif" w:hAnsi="PT Astra Serif"/>
          <w:sz w:val="28"/>
          <w:szCs w:val="28"/>
        </w:rPr>
        <w:t>равным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1,9;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15001 до 20000 человек включительно - 1,7;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20001 до 25000 человек включительно - 1,5;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муниципальные образования с численностью населения от 25001 до 50000 человек включительно - 1,3;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50001 до 100000 человек включительно - 1,2;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свыше 100000 человек - 1,0.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Минимальная условная штатная численность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муниципального образования устанавливается в размере 3 штатные единицы.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Количество условных штатных единиц работников органов местного самоуправления i-</w:t>
      </w:r>
      <w:proofErr w:type="spellStart"/>
      <w:r w:rsidRPr="00211265">
        <w:rPr>
          <w:rFonts w:ascii="PT Astra Serif" w:hAnsi="PT Astra Serif"/>
          <w:sz w:val="28"/>
          <w:szCs w:val="28"/>
        </w:rPr>
        <w:t>го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поселения, входящего в j-</w:t>
      </w:r>
      <w:proofErr w:type="spellStart"/>
      <w:r w:rsidRPr="00211265">
        <w:rPr>
          <w:rFonts w:ascii="PT Astra Serif" w:hAnsi="PT Astra Serif"/>
          <w:sz w:val="28"/>
          <w:szCs w:val="28"/>
        </w:rPr>
        <w:t>ую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группу поселений, не может превышать количество условных штатных </w:t>
      </w:r>
      <w:proofErr w:type="gramStart"/>
      <w:r w:rsidRPr="00211265">
        <w:rPr>
          <w:rFonts w:ascii="PT Astra Serif" w:hAnsi="PT Astra Serif"/>
          <w:sz w:val="28"/>
          <w:szCs w:val="28"/>
        </w:rPr>
        <w:t>единиц работников органов местного самоуправления поселения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с большей численностью постоянного населения, входящего в следующую группу муниципальных образований j+1.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При расчете показателей по j-й группе поселений области не учитываются показатели по поселениям, являющимся административными центрами муниципальных районов, передавшим исполнение </w:t>
      </w:r>
      <w:proofErr w:type="gramStart"/>
      <w:r w:rsidRPr="00211265">
        <w:rPr>
          <w:rFonts w:ascii="PT Astra Serif" w:hAnsi="PT Astra Serif"/>
          <w:sz w:val="28"/>
          <w:szCs w:val="28"/>
        </w:rPr>
        <w:t>полномочий администрации поселения администрации муниципального района</w:t>
      </w:r>
      <w:proofErr w:type="gramEnd"/>
      <w:r w:rsidRPr="00211265">
        <w:rPr>
          <w:rFonts w:ascii="PT Astra Serif" w:hAnsi="PT Astra Serif"/>
          <w:sz w:val="28"/>
          <w:szCs w:val="28"/>
        </w:rPr>
        <w:t>.</w:t>
      </w:r>
    </w:p>
    <w:p w:rsidR="00211265" w:rsidRPr="00211265" w:rsidRDefault="0021126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В случае если расчетное значение </w:t>
      </w:r>
      <w:proofErr w:type="spellStart"/>
      <w:r w:rsidRPr="00211265">
        <w:rPr>
          <w:rFonts w:ascii="PT Astra Serif" w:hAnsi="PT Astra Serif"/>
          <w:sz w:val="28"/>
          <w:szCs w:val="28"/>
        </w:rPr>
        <w:t>Н</w:t>
      </w:r>
      <w:r w:rsidRPr="00211265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211265">
        <w:rPr>
          <w:rFonts w:ascii="PT Astra Serif" w:hAnsi="PT Astra Serif"/>
          <w:sz w:val="28"/>
          <w:szCs w:val="28"/>
        </w:rPr>
        <w:t xml:space="preserve"> больше 3,5, норматив принимается </w:t>
      </w:r>
      <w:proofErr w:type="gramStart"/>
      <w:r w:rsidRPr="00211265">
        <w:rPr>
          <w:rFonts w:ascii="PT Astra Serif" w:hAnsi="PT Astra Serif"/>
          <w:sz w:val="28"/>
          <w:szCs w:val="28"/>
        </w:rPr>
        <w:t>равным</w:t>
      </w:r>
      <w:proofErr w:type="gramEnd"/>
      <w:r w:rsidRPr="00211265">
        <w:rPr>
          <w:rFonts w:ascii="PT Astra Serif" w:hAnsi="PT Astra Serif"/>
          <w:sz w:val="28"/>
          <w:szCs w:val="28"/>
        </w:rPr>
        <w:t xml:space="preserve"> 3,5.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Утверждены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постановлением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13 декабря 2021 г. N 1085-П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197"/>
      <w:bookmarkEnd w:id="3"/>
      <w:r w:rsidRPr="00211265">
        <w:rPr>
          <w:rFonts w:ascii="PT Astra Serif" w:hAnsi="PT Astra Serif"/>
          <w:sz w:val="28"/>
          <w:szCs w:val="28"/>
        </w:rPr>
        <w:t>НОРМАТИВЫ</w:t>
      </w: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ФОРМИРОВАНИЯ РАСХОДОВ НА СОДЕРЖАНИЕ ОРГАНОВ</w:t>
      </w: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МЕСТНОГО САМОУПРАВЛЕНИЯ МУНИЦИПАЛЬНЫХ РАЙОНОВ</w:t>
      </w: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(МУНИЦИПАЛЬНЫХ ОКРУГОВ, ГОРОДСКИХ ОКРУГОВ) ОБЛАСТИ</w:t>
      </w:r>
    </w:p>
    <w:p w:rsidR="00211265" w:rsidRPr="00211265" w:rsidRDefault="0021126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1265" w:rsidRPr="002112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2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896"/>
        <w:gridCol w:w="2494"/>
      </w:tblGrid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211265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211265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 (муниципального округа, городского округа) области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Нормативы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211265">
              <w:rPr>
                <w:rFonts w:ascii="PT Astra Serif" w:hAnsi="PT Astra Serif"/>
                <w:sz w:val="28"/>
                <w:szCs w:val="28"/>
              </w:rPr>
              <w:t>-Гайский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0,55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Аркадакский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0,27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Аткарский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0,28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Базарно-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0,38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0,13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0,12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Балтайский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0,49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0,13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Воскресенский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0,57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Дергачевский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0,44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Духовницкий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0,38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Екатериновский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0,27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Ершовский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0,26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Ивантеевский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0,36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lastRenderedPageBreak/>
              <w:t>15.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Калининский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0,21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Красноармейский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0,28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Краснокутский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0,30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Краснопартизанский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0,43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Лысогорский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0,39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0,24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Новобурасский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0,45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Новоузенский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0,45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Озинский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0,44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Перелюбский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0,34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Петровский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0,30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Питерский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0,62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Пугачевский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0,22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Ровенский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0,50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Романовский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0,48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Ртищевский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0,23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Самойловский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0,23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"/>
              <w:gridCol w:w="108"/>
              <w:gridCol w:w="8615"/>
              <w:gridCol w:w="108"/>
            </w:tblGrid>
            <w:tr w:rsidR="00211265" w:rsidRPr="0021126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jc w:val="both"/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211265">
                    <w:rPr>
                      <w:rFonts w:ascii="PT Astra Serif" w:hAnsi="PT Astra Serif"/>
                      <w:sz w:val="28"/>
                      <w:szCs w:val="28"/>
                    </w:rPr>
                    <w:t xml:space="preserve">П. 32 </w:t>
                  </w:r>
                  <w:hyperlink w:anchor="P32">
                    <w:r w:rsidRPr="00211265">
                      <w:rPr>
                        <w:rFonts w:ascii="PT Astra Serif" w:hAnsi="PT Astra Serif"/>
                        <w:sz w:val="28"/>
                        <w:szCs w:val="28"/>
                      </w:rPr>
                      <w:t>утратил</w:t>
                    </w:r>
                  </w:hyperlink>
                  <w:r w:rsidRPr="00211265">
                    <w:rPr>
                      <w:rFonts w:ascii="PT Astra Serif" w:hAnsi="PT Astra Serif"/>
                      <w:sz w:val="28"/>
                      <w:szCs w:val="28"/>
                    </w:rPr>
                    <w:t xml:space="preserve"> силу с 01.01.2022.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</w:tr>
          </w:tbl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4" w:name="P301"/>
            <w:bookmarkEnd w:id="4"/>
            <w:r w:rsidRPr="00211265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5896" w:type="dxa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Саратовский</w:t>
            </w:r>
          </w:p>
        </w:tc>
        <w:tc>
          <w:tcPr>
            <w:tcW w:w="2494" w:type="dxa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0,11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Советский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0,36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Татищевский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0,28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35.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Турковский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0,36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36.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Федоровский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0,47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37.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0,30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38.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0,14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39.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Саратов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0,11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lastRenderedPageBreak/>
              <w:t>40.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Шиханы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0,74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41.</w:t>
            </w:r>
          </w:p>
        </w:tc>
        <w:tc>
          <w:tcPr>
            <w:tcW w:w="5896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Михайловский</w:t>
            </w:r>
          </w:p>
        </w:tc>
        <w:tc>
          <w:tcPr>
            <w:tcW w:w="2494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0,75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3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</w:tr>
      <w:tr w:rsidR="00211265" w:rsidRPr="00211265">
        <w:tc>
          <w:tcPr>
            <w:tcW w:w="62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42.</w:t>
            </w:r>
          </w:p>
        </w:tc>
        <w:tc>
          <w:tcPr>
            <w:tcW w:w="5896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ЗАТО Светлый</w:t>
            </w:r>
          </w:p>
        </w:tc>
        <w:tc>
          <w:tcPr>
            <w:tcW w:w="2494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0,35</w:t>
            </w: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 xml:space="preserve">(в ред. </w:t>
      </w:r>
      <w:hyperlink r:id="rId34">
        <w:r w:rsidRPr="0021126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211265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10.01.2025 N 6-П)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5" w:name="_GoBack"/>
      <w:bookmarkEnd w:id="5"/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Утверждены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постановлением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211265" w:rsidRPr="00211265" w:rsidRDefault="0021126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от 13 декабря 2021 г. N 1085-П</w:t>
      </w: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6" w:name="P349"/>
      <w:bookmarkEnd w:id="6"/>
      <w:r w:rsidRPr="00211265">
        <w:rPr>
          <w:rFonts w:ascii="PT Astra Serif" w:hAnsi="PT Astra Serif"/>
          <w:sz w:val="28"/>
          <w:szCs w:val="28"/>
        </w:rPr>
        <w:t>НОРМАТИВЫ</w:t>
      </w:r>
    </w:p>
    <w:p w:rsidR="00211265" w:rsidRPr="00211265" w:rsidRDefault="00211265" w:rsidP="0021126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1265">
        <w:rPr>
          <w:rFonts w:ascii="PT Astra Serif" w:hAnsi="PT Astra Serif"/>
          <w:sz w:val="28"/>
          <w:szCs w:val="28"/>
        </w:rPr>
        <w:t>ФОРМИРОВАНИЯ РАСХОДОВ НА СОДЕРЖАНИЕ ОРГАНОВ МЕСТНОГО САМОУПРАВЛЕНИЯ ПОСЕЛЕНИЙ ОБЛАСТИ</w:t>
      </w:r>
    </w:p>
    <w:p w:rsidR="00211265" w:rsidRPr="00211265" w:rsidRDefault="0021126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1265" w:rsidRPr="002112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5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3969"/>
        <w:gridCol w:w="1526"/>
      </w:tblGrid>
      <w:tr w:rsidR="00211265" w:rsidRPr="00211265">
        <w:tc>
          <w:tcPr>
            <w:tcW w:w="567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211265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211265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3005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Наименование муниципальных районов области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Наименование поселений области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Нормативы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211265">
              <w:rPr>
                <w:rFonts w:ascii="PT Astra Serif" w:hAnsi="PT Astra Serif"/>
                <w:sz w:val="28"/>
                <w:szCs w:val="28"/>
              </w:rPr>
              <w:t>-Гайский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211265">
              <w:rPr>
                <w:rFonts w:ascii="PT Astra Serif" w:hAnsi="PT Astra Serif"/>
                <w:sz w:val="28"/>
                <w:szCs w:val="28"/>
              </w:rPr>
              <w:t>-Гайское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Новоалександровское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Аркадакский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Большежуравское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Аркадак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Краснознаменское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Львовское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Малиновское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Росташовское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Семеновское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1,47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Аткарский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Барановское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2,74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Аткарск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Даниловское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Ершовское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Кочетовское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Лопуховское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Озерное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2,77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Базарно-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Алексеевское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Базарно-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Карабулакское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Большечечуйское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Максимовское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Свободинское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Старобурасское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Старожуковское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Шняевское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Яковлевское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2,35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Быково-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Отрогское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Балаково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Натальинское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0,38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Барковское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2,56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Большемеликское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Балашов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0,17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Лесновское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Малосеменовское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Новопокровское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Пинеровское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Репинское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Родничковское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Соцземледельское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Старохоперское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1,80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Терновское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Тростянское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Хоперское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1,67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Балтайский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Балтайское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Барнуковское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Большеозерское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Царевщинское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1,55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Барановское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3,40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Белогорновское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Верхнечернавское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Вольск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Колоярское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2,64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Кряжимское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3,20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Куриловское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Междуреченское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Нижнечернавское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Покровское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2,53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Сенное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Талалихинское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1,82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Терсинское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Черкасское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Широкобуеракское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0,92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Воскресенский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Воскресенское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Елшанское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Синодское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1,69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Дергачевский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Верхазовское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Восточное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Демьясское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2,65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Дергачевское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Зерновское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3,09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Камышевское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2,81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Орошаемое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3,10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Сафаровское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Советское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Духовницкий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Березово-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Лукское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Брыковское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Горяйновское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Дмитриевское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Духовницкое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Новозахаркинское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0,87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Екатериновский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Альшанское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Андреевское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Бакурское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Галаховское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Екатериновское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Индустриальное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Кипецкое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Коленовское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Крутоярское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Новоселовское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Сластухинское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0,95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Ершовский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Антоновское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Ершов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Декабристское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Марьевское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Миусское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2,02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Новокраснянское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2,49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Новорепинское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Новосельское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Перекопновское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2,09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Ивантеевский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Бартеневское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Знаменское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Ивановское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Ивантеевское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Канаевское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2,34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Николаевское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Раевское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Чернавское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Яблоново-Гайское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2,27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Калининский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Ахтубинское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Калининск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Казачкинское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Колокольцовское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Малоекатериновское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Озерское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Свердловское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Сергиевское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Симоновское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Таловское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Широкоуступское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0,43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Красноармейский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Высоковское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Красноармейск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Гвардейское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2,44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Золотовское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Каменское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Карамышское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Луганское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Нижнебанновское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Рогаткинское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2,71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Россошанское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2,98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Сплавнухинское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1,49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Краснокутский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Красный Кут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Дьяковское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2,73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Ждановское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Журавлевское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Интернациональное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Комсомольское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Лавровское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Лебедевское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Логиновское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2,45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Усатовское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2,53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Чкаловское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0,59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Краснопартизанский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Горновское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Рукопольское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1,01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Лысогорский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Большедмитриевское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3,00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Большекопенское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Большерельненское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Бутырское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2,14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Гремячинское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Лысогорское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Новокрасавское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2,22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Раздольновское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Ширококарамышское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1,31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Маркс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Зоркинское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Кировское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1,84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Осиновское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Подлесновское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Приволжское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0,93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Новобурасский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Белоярское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Новобурасское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Тепловское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0,97</w:t>
            </w:r>
          </w:p>
        </w:tc>
      </w:tr>
      <w:tr w:rsidR="00211265" w:rsidRPr="00211265">
        <w:tc>
          <w:tcPr>
            <w:tcW w:w="567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Новоузенский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Алгайское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2,55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Строка утратила силу с 10 января 2025 года. - </w:t>
            </w:r>
            <w:hyperlink r:id="rId36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Новоузенск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0,55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Горькореченское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3,42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Строка утратила силу с 10 января 2025 года. - </w:t>
            </w:r>
            <w:hyperlink r:id="rId37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Дюрское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2,51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Куриловское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2,14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Олоновское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2,76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Петропавловское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Пограниченское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2,30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Радищевское</w:t>
            </w:r>
          </w:p>
        </w:tc>
        <w:tc>
          <w:tcPr>
            <w:tcW w:w="1526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2,13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67" w:type="dxa"/>
            <w:gridSpan w:val="4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8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Озинский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Балашинское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Заволжское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Ленинское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Озерское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Озинское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Первоцелинное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Пигаревское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Сланцерудниковское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3,04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Урожайное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2,93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Чалыклинское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Перелюбский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Грачево-Кустовское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2,84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Иванихинское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Кучумбетовское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3,30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Молодежное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Натальиноярское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Нижнепокровское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3,17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2,97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Перелюбское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Смородинское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Тепловское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2,83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Целинное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Петровский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Березовское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Петровск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Грачевское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Новозахаркинское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Пригородное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Синеньское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2,07</w:t>
            </w:r>
          </w:p>
        </w:tc>
      </w:tr>
      <w:tr w:rsidR="00211265" w:rsidRPr="00211265">
        <w:tc>
          <w:tcPr>
            <w:tcW w:w="567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Питерский</w:t>
            </w: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Строка утратила силу с 10 января 2025 года. - </w:t>
            </w:r>
            <w:hyperlink r:id="rId39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Алексашкинское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2,69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Малоузенское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Мироновское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1,61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Нивское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3,08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Новотульское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1,46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Строка утратила силу с 10 января 2025 года. - </w:t>
            </w:r>
            <w:hyperlink r:id="rId40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Питерское</w:t>
            </w:r>
          </w:p>
        </w:tc>
        <w:tc>
          <w:tcPr>
            <w:tcW w:w="1526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0,70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67" w:type="dxa"/>
            <w:gridSpan w:val="4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1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Пугачевский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Пугачев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Давыдовское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Заволжское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Клинцовское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Краснореченское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Надеждинское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Преображенское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Рахмановское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Старопорубежское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0,86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Ровенский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Кочетновское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3,22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Кривоярское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Луговское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2,69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Приволжское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Привольненское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Ровенское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Тарлыковское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1,14</w:t>
            </w:r>
          </w:p>
        </w:tc>
      </w:tr>
      <w:tr w:rsidR="00211265" w:rsidRPr="00211265">
        <w:tc>
          <w:tcPr>
            <w:tcW w:w="567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Романовский</w:t>
            </w: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Строка утратила силу с 10 января 2025 года. - </w:t>
            </w:r>
            <w:hyperlink r:id="rId42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Большекарайское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0,91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Мордовокарайское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0,96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Подгорненское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1,50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Романовское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0,52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Усть-Щербединское</w:t>
            </w:r>
            <w:proofErr w:type="spellEnd"/>
          </w:p>
        </w:tc>
        <w:tc>
          <w:tcPr>
            <w:tcW w:w="1526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0,89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67" w:type="dxa"/>
            <w:gridSpan w:val="4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3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Ртищевский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Ртищево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Краснозвездинское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1,68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Макаровское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1,85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Салтыковское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Урусовское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1,98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Шило-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Голицынское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1,21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Самойловский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Благовещенское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Еловатское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Краснознаменское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Песчанское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Самойловское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Святославское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Хрущевское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0,74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67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"/>
              <w:gridCol w:w="109"/>
              <w:gridCol w:w="8667"/>
              <w:gridCol w:w="109"/>
            </w:tblGrid>
            <w:tr w:rsidR="00211265" w:rsidRPr="0021126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jc w:val="both"/>
                    <w:rPr>
                      <w:rFonts w:ascii="PT Astra Serif" w:hAnsi="PT Astra Serif"/>
                      <w:sz w:val="28"/>
                      <w:szCs w:val="28"/>
                    </w:rPr>
                  </w:pPr>
                  <w:r w:rsidRPr="00211265">
                    <w:rPr>
                      <w:rFonts w:ascii="PT Astra Serif" w:hAnsi="PT Astra Serif"/>
                      <w:sz w:val="28"/>
                      <w:szCs w:val="28"/>
                    </w:rPr>
                    <w:t xml:space="preserve">П. 32 </w:t>
                  </w:r>
                  <w:hyperlink w:anchor="P32">
                    <w:r w:rsidRPr="00211265">
                      <w:rPr>
                        <w:rFonts w:ascii="PT Astra Serif" w:hAnsi="PT Astra Serif"/>
                        <w:sz w:val="28"/>
                        <w:szCs w:val="28"/>
                      </w:rPr>
                      <w:t>утратил</w:t>
                    </w:r>
                  </w:hyperlink>
                  <w:r w:rsidRPr="00211265">
                    <w:rPr>
                      <w:rFonts w:ascii="PT Astra Serif" w:hAnsi="PT Astra Serif"/>
                      <w:sz w:val="28"/>
                      <w:szCs w:val="28"/>
                    </w:rPr>
                    <w:t xml:space="preserve"> силу с 01.01.2022.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1265" w:rsidRPr="00211265" w:rsidRDefault="00211265">
                  <w:pPr>
                    <w:pStyle w:val="ConsPlusNormal"/>
                    <w:rPr>
                      <w:rFonts w:ascii="PT Astra Serif" w:hAnsi="PT Astra Serif"/>
                      <w:sz w:val="28"/>
                      <w:szCs w:val="28"/>
                    </w:rPr>
                  </w:pPr>
                </w:p>
              </w:tc>
            </w:tr>
          </w:tbl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567" w:type="dxa"/>
            <w:vMerge w:val="restart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7" w:name="P930"/>
            <w:bookmarkEnd w:id="7"/>
            <w:r w:rsidRPr="00211265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3005" w:type="dxa"/>
            <w:vMerge w:val="restart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Саратовский</w:t>
            </w:r>
          </w:p>
        </w:tc>
        <w:tc>
          <w:tcPr>
            <w:tcW w:w="3969" w:type="dxa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Александровское</w:t>
            </w:r>
          </w:p>
        </w:tc>
        <w:tc>
          <w:tcPr>
            <w:tcW w:w="1526" w:type="dxa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0,83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Вольновское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0,86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Дубковское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0,46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Краснооктябрьское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0,87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Михайловское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1,74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Расковское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0,32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Соколовское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0,50</w:t>
            </w:r>
          </w:p>
        </w:tc>
      </w:tr>
      <w:tr w:rsidR="00211265" w:rsidRPr="00211265">
        <w:tc>
          <w:tcPr>
            <w:tcW w:w="567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Усть-Курдюмское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0,25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Советский</w:t>
            </w: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Золотостепское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Любимовское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Мечетненское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Пушкинское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0,66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Розовское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Советское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Степновское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0,51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Татищевский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Вязовское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Идолгское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Садовское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Сторожевское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1,37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Татищевское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Ягодно-Полянское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1,47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35.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Турковский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Перевесинское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Рязанское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0,79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Студеновское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1,06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Турковское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0,44</w:t>
            </w:r>
          </w:p>
        </w:tc>
      </w:tr>
      <w:tr w:rsidR="00211265" w:rsidRPr="00211265">
        <w:tc>
          <w:tcPr>
            <w:tcW w:w="567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36.</w:t>
            </w:r>
          </w:p>
        </w:tc>
        <w:tc>
          <w:tcPr>
            <w:tcW w:w="3005" w:type="dxa"/>
            <w:vMerge w:val="restart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Федоровский</w:t>
            </w: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Строка утратила силу с 10 января 2025 года. - </w:t>
            </w:r>
            <w:hyperlink r:id="rId44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Долинское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Ерусланское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3,50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Калужское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1,13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Мокроусское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0,48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Морцевское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1,70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495" w:type="dxa"/>
            <w:gridSpan w:val="2"/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Строки утратили силу с 10 января 2025 года. - </w:t>
            </w:r>
            <w:hyperlink r:id="rId45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3,08</w:t>
            </w:r>
          </w:p>
        </w:tc>
      </w:tr>
      <w:tr w:rsidR="00211265" w:rsidRPr="00211265"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Семеновское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1,45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Федоровское</w:t>
            </w:r>
          </w:p>
        </w:tc>
        <w:tc>
          <w:tcPr>
            <w:tcW w:w="1526" w:type="dxa"/>
            <w:tcBorders>
              <w:bottom w:val="nil"/>
            </w:tcBorders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0,94</w:t>
            </w:r>
          </w:p>
        </w:tc>
      </w:tr>
      <w:tr w:rsidR="00211265" w:rsidRPr="00211265">
        <w:tblPrEx>
          <w:tblBorders>
            <w:insideH w:val="nil"/>
          </w:tblBorders>
        </w:tblPrEx>
        <w:tc>
          <w:tcPr>
            <w:tcW w:w="9067" w:type="dxa"/>
            <w:gridSpan w:val="4"/>
            <w:tcBorders>
              <w:top w:val="nil"/>
            </w:tcBorders>
          </w:tcPr>
          <w:p w:rsidR="00211265" w:rsidRPr="00211265" w:rsidRDefault="0021126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6">
              <w:r w:rsidRPr="0021126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21126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10.01.2025 N 6-П)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37.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Алексеевское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0,88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Благодатинское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1,86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Возрожденческое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1,72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Хвалынск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0,39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Елшанское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1,51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Северное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1,24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Сосново-</w:t>
            </w: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Мазинское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1,42</w:t>
            </w:r>
          </w:p>
        </w:tc>
      </w:tr>
      <w:tr w:rsidR="00211265" w:rsidRPr="00211265">
        <w:tc>
          <w:tcPr>
            <w:tcW w:w="567" w:type="dxa"/>
            <w:vMerge w:val="restart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38.</w:t>
            </w:r>
          </w:p>
        </w:tc>
        <w:tc>
          <w:tcPr>
            <w:tcW w:w="3005" w:type="dxa"/>
            <w:vMerge w:val="restart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Безымянское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1,42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г. Энгельс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0,25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Красноярское</w:t>
            </w:r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0,49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Новопушкинское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0,83</w:t>
            </w:r>
          </w:p>
        </w:tc>
      </w:tr>
      <w:tr w:rsidR="00211265" w:rsidRPr="00211265">
        <w:tc>
          <w:tcPr>
            <w:tcW w:w="567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969" w:type="dxa"/>
          </w:tcPr>
          <w:p w:rsidR="00211265" w:rsidRPr="00211265" w:rsidRDefault="0021126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211265">
              <w:rPr>
                <w:rFonts w:ascii="PT Astra Serif" w:hAnsi="PT Astra Serif"/>
                <w:sz w:val="28"/>
                <w:szCs w:val="28"/>
              </w:rPr>
              <w:t>Терновское</w:t>
            </w:r>
            <w:proofErr w:type="spellEnd"/>
          </w:p>
        </w:tc>
        <w:tc>
          <w:tcPr>
            <w:tcW w:w="1526" w:type="dxa"/>
          </w:tcPr>
          <w:p w:rsidR="00211265" w:rsidRPr="00211265" w:rsidRDefault="0021126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1265">
              <w:rPr>
                <w:rFonts w:ascii="PT Astra Serif" w:hAnsi="PT Astra Serif"/>
                <w:sz w:val="28"/>
                <w:szCs w:val="28"/>
              </w:rPr>
              <w:t>0,44</w:t>
            </w:r>
          </w:p>
        </w:tc>
      </w:tr>
    </w:tbl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1265" w:rsidRPr="00211265" w:rsidRDefault="0021126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211265" w:rsidRDefault="00211265">
      <w:pPr>
        <w:rPr>
          <w:rFonts w:ascii="PT Astra Serif" w:hAnsi="PT Astra Serif"/>
          <w:sz w:val="28"/>
          <w:szCs w:val="28"/>
        </w:rPr>
      </w:pPr>
    </w:p>
    <w:sectPr w:rsidR="005A1A7E" w:rsidRPr="00211265" w:rsidSect="002B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265"/>
    <w:rsid w:val="000C2229"/>
    <w:rsid w:val="00172250"/>
    <w:rsid w:val="00211265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112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11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112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11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112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112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112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1126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112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11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112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11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112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112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112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1126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81534&amp;dst=100067" TargetMode="External"/><Relationship Id="rId13" Type="http://schemas.openxmlformats.org/officeDocument/2006/relationships/hyperlink" Target="https://login.consultant.ru/link/?req=doc&amp;base=RLAW358&amp;n=64850" TargetMode="External"/><Relationship Id="rId18" Type="http://schemas.openxmlformats.org/officeDocument/2006/relationships/hyperlink" Target="https://login.consultant.ru/link/?req=doc&amp;base=RLAW358&amp;n=118003" TargetMode="External"/><Relationship Id="rId26" Type="http://schemas.openxmlformats.org/officeDocument/2006/relationships/hyperlink" Target="https://login.consultant.ru/link/?req=doc&amp;base=RLAW358&amp;n=173665&amp;dst=100011" TargetMode="External"/><Relationship Id="rId39" Type="http://schemas.openxmlformats.org/officeDocument/2006/relationships/hyperlink" Target="https://login.consultant.ru/link/?req=doc&amp;base=RLAW358&amp;n=182022&amp;dst=10001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82022&amp;dst=100009" TargetMode="External"/><Relationship Id="rId34" Type="http://schemas.openxmlformats.org/officeDocument/2006/relationships/hyperlink" Target="https://login.consultant.ru/link/?req=doc&amp;base=RLAW358&amp;n=182022&amp;dst=100014" TargetMode="External"/><Relationship Id="rId42" Type="http://schemas.openxmlformats.org/officeDocument/2006/relationships/hyperlink" Target="https://login.consultant.ru/link/?req=doc&amp;base=RLAW358&amp;n=182022&amp;dst=100019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66790&amp;dst=5659" TargetMode="External"/><Relationship Id="rId12" Type="http://schemas.openxmlformats.org/officeDocument/2006/relationships/hyperlink" Target="https://login.consultant.ru/link/?req=doc&amp;base=RLAW358&amp;n=118099" TargetMode="External"/><Relationship Id="rId17" Type="http://schemas.openxmlformats.org/officeDocument/2006/relationships/hyperlink" Target="https://login.consultant.ru/link/?req=doc&amp;base=RLAW358&amp;n=104744" TargetMode="External"/><Relationship Id="rId25" Type="http://schemas.openxmlformats.org/officeDocument/2006/relationships/hyperlink" Target="https://login.consultant.ru/link/?req=doc&amp;base=LAW&amp;n=480999&amp;dst=692" TargetMode="External"/><Relationship Id="rId33" Type="http://schemas.openxmlformats.org/officeDocument/2006/relationships/hyperlink" Target="https://login.consultant.ru/link/?req=doc&amp;base=RLAW358&amp;n=182022&amp;dst=100015" TargetMode="External"/><Relationship Id="rId38" Type="http://schemas.openxmlformats.org/officeDocument/2006/relationships/hyperlink" Target="https://login.consultant.ru/link/?req=doc&amp;base=RLAW358&amp;n=182022&amp;dst=100017" TargetMode="External"/><Relationship Id="rId46" Type="http://schemas.openxmlformats.org/officeDocument/2006/relationships/hyperlink" Target="https://login.consultant.ru/link/?req=doc&amp;base=RLAW358&amp;n=182022&amp;dst=1000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93248" TargetMode="External"/><Relationship Id="rId20" Type="http://schemas.openxmlformats.org/officeDocument/2006/relationships/hyperlink" Target="https://login.consultant.ru/link/?req=doc&amp;base=RLAW358&amp;n=182022&amp;dst=100007" TargetMode="External"/><Relationship Id="rId29" Type="http://schemas.openxmlformats.org/officeDocument/2006/relationships/hyperlink" Target="https://login.consultant.ru/link/?req=doc&amp;base=LAW&amp;n=480999&amp;dst=175" TargetMode="External"/><Relationship Id="rId41" Type="http://schemas.openxmlformats.org/officeDocument/2006/relationships/hyperlink" Target="https://login.consultant.ru/link/?req=doc&amp;base=RLAW358&amp;n=182022&amp;dst=1000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2022&amp;dst=100005" TargetMode="External"/><Relationship Id="rId11" Type="http://schemas.openxmlformats.org/officeDocument/2006/relationships/hyperlink" Target="https://login.consultant.ru/link/?req=doc&amp;base=RLAW358&amp;n=173665&amp;dst=100010" TargetMode="External"/><Relationship Id="rId24" Type="http://schemas.openxmlformats.org/officeDocument/2006/relationships/hyperlink" Target="https://login.consultant.ru/link/?req=doc&amp;base=LAW&amp;n=480999&amp;dst=100223" TargetMode="External"/><Relationship Id="rId32" Type="http://schemas.openxmlformats.org/officeDocument/2006/relationships/hyperlink" Target="https://login.consultant.ru/link/?req=doc&amp;base=RLAW358&amp;n=182022&amp;dst=100012" TargetMode="External"/><Relationship Id="rId37" Type="http://schemas.openxmlformats.org/officeDocument/2006/relationships/hyperlink" Target="https://login.consultant.ru/link/?req=doc&amp;base=RLAW358&amp;n=182022&amp;dst=100017" TargetMode="External"/><Relationship Id="rId40" Type="http://schemas.openxmlformats.org/officeDocument/2006/relationships/hyperlink" Target="https://login.consultant.ru/link/?req=doc&amp;base=RLAW358&amp;n=182022&amp;dst=100018" TargetMode="External"/><Relationship Id="rId45" Type="http://schemas.openxmlformats.org/officeDocument/2006/relationships/hyperlink" Target="https://login.consultant.ru/link/?req=doc&amp;base=RLAW358&amp;n=182022&amp;dst=100020" TargetMode="External"/><Relationship Id="rId5" Type="http://schemas.openxmlformats.org/officeDocument/2006/relationships/hyperlink" Target="https://login.consultant.ru/link/?req=doc&amp;base=RLAW358&amp;n=173665&amp;dst=100009" TargetMode="External"/><Relationship Id="rId15" Type="http://schemas.openxmlformats.org/officeDocument/2006/relationships/hyperlink" Target="https://login.consultant.ru/link/?req=doc&amp;base=RLAW358&amp;n=86158" TargetMode="External"/><Relationship Id="rId23" Type="http://schemas.openxmlformats.org/officeDocument/2006/relationships/hyperlink" Target="https://login.consultant.ru/link/?req=doc&amp;base=LAW&amp;n=480999&amp;dst=175" TargetMode="External"/><Relationship Id="rId28" Type="http://schemas.openxmlformats.org/officeDocument/2006/relationships/hyperlink" Target="https://login.consultant.ru/link/?req=doc&amp;base=RLAW358&amp;n=173665&amp;dst=100013" TargetMode="External"/><Relationship Id="rId36" Type="http://schemas.openxmlformats.org/officeDocument/2006/relationships/hyperlink" Target="https://login.consultant.ru/link/?req=doc&amp;base=RLAW358&amp;n=182022&amp;dst=100017" TargetMode="External"/><Relationship Id="rId10" Type="http://schemas.openxmlformats.org/officeDocument/2006/relationships/hyperlink" Target="https://login.consultant.ru/link/?req=doc&amp;base=RLAW358&amp;n=182022&amp;dst=100006" TargetMode="External"/><Relationship Id="rId19" Type="http://schemas.openxmlformats.org/officeDocument/2006/relationships/hyperlink" Target="https://login.consultant.ru/link/?req=doc&amp;base=RLAW358&amp;n=173665&amp;dst=100011" TargetMode="External"/><Relationship Id="rId31" Type="http://schemas.openxmlformats.org/officeDocument/2006/relationships/hyperlink" Target="https://login.consultant.ru/link/?req=doc&amp;base=RLAW358&amp;n=173665&amp;dst=100013" TargetMode="External"/><Relationship Id="rId44" Type="http://schemas.openxmlformats.org/officeDocument/2006/relationships/hyperlink" Target="https://login.consultant.ru/link/?req=doc&amp;base=RLAW358&amp;n=182022&amp;dst=100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82022&amp;dst=100006" TargetMode="External"/><Relationship Id="rId14" Type="http://schemas.openxmlformats.org/officeDocument/2006/relationships/hyperlink" Target="https://login.consultant.ru/link/?req=doc&amp;base=RLAW358&amp;n=75914" TargetMode="External"/><Relationship Id="rId22" Type="http://schemas.openxmlformats.org/officeDocument/2006/relationships/hyperlink" Target="https://login.consultant.ru/link/?req=doc&amp;base=RLAW358&amp;n=182022&amp;dst=100010" TargetMode="External"/><Relationship Id="rId27" Type="http://schemas.openxmlformats.org/officeDocument/2006/relationships/hyperlink" Target="https://login.consultant.ru/link/?req=doc&amp;base=RLAW358&amp;n=182022&amp;dst=100011" TargetMode="External"/><Relationship Id="rId30" Type="http://schemas.openxmlformats.org/officeDocument/2006/relationships/hyperlink" Target="https://login.consultant.ru/link/?req=doc&amp;base=LAW&amp;n=480999&amp;dst=100223" TargetMode="External"/><Relationship Id="rId35" Type="http://schemas.openxmlformats.org/officeDocument/2006/relationships/hyperlink" Target="https://login.consultant.ru/link/?req=doc&amp;base=RLAW358&amp;n=182022&amp;dst=100016" TargetMode="External"/><Relationship Id="rId43" Type="http://schemas.openxmlformats.org/officeDocument/2006/relationships/hyperlink" Target="https://login.consultant.ru/link/?req=doc&amp;base=RLAW358&amp;n=182022&amp;dst=100019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4816</Words>
  <Characters>27456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2025-03-12T05:28:00Z</dcterms:created>
  <dcterms:modified xsi:type="dcterms:W3CDTF">2025-03-12T05:29:00Z</dcterms:modified>
</cp:coreProperties>
</file>