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2.xml" ContentType="application/xml"/>
  <Override PartName="/customXml/item1.xml" ContentType="application/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8"/>
        <w:tabs>
          <w:tab w:val="clear" w:pos="720"/>
          <w:tab w:val="left" w:pos="2977" w:leader="none"/>
        </w:tabs>
        <w:jc w:val="right"/>
        <w:rPr>
          <w:rFonts w:ascii="Times New Roman" w:hAnsi="Times New Roman" w:cs="Times New Roman"/>
          <w:b w:val="false"/>
          <w:b w:val="false"/>
          <w:szCs w:val="28"/>
        </w:rPr>
      </w:pPr>
      <w:r>
        <w:rPr>
          <w:rFonts w:cs="Times New Roman" w:ascii="Times New Roman" w:hAnsi="Times New Roman"/>
          <w:b w:val="false"/>
          <w:szCs w:val="28"/>
        </w:rPr>
        <w:t>ПРОЕКТ</w:t>
      </w:r>
    </w:p>
    <w:p>
      <w:pPr>
        <w:pStyle w:val="Style28"/>
        <w:rPr>
          <w:rFonts w:ascii="Times New Roman" w:hAnsi="Times New Roman" w:cs="Times New Roman"/>
          <w:b w:val="false"/>
          <w:b w:val="false"/>
          <w:szCs w:val="28"/>
        </w:rPr>
      </w:pPr>
      <w:r>
        <w:rPr>
          <w:rFonts w:cs="Times New Roman" w:ascii="Times New Roman" w:hAnsi="Times New Roman"/>
          <w:b w:val="false"/>
          <w:szCs w:val="28"/>
        </w:rPr>
        <w:t>ПРАВИТЕЛЬСТВО САРАТОВСКОЙ ОБЛАСТИ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sz w:val="24"/>
          <w:szCs w:val="24"/>
        </w:rPr>
      </w:pPr>
      <w:r>
        <w:rPr>
          <w:rFonts w:cs="Times New Roman" w:ascii="Times New Roman" w:hAnsi="Times New Roman"/>
          <w:b w:val="false"/>
          <w:sz w:val="24"/>
          <w:szCs w:val="24"/>
        </w:rPr>
      </w:r>
    </w:p>
    <w:p>
      <w:pPr>
        <w:pStyle w:val="Normal"/>
        <w:shd w:val="clear" w:color="auto" w:fill="FFFFFF"/>
        <w:spacing w:lineRule="auto" w:line="228"/>
        <w:ind w:right="4145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</w:t>
      </w:r>
    </w:p>
    <w:p>
      <w:pPr>
        <w:pStyle w:val="Normal"/>
        <w:shd w:val="clear" w:color="auto" w:fill="FFFFFF"/>
        <w:spacing w:lineRule="auto" w:line="228"/>
        <w:ind w:right="4145" w:hanging="0"/>
        <w:rPr>
          <w:b/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>Правительства Саратовской области</w:t>
      </w:r>
    </w:p>
    <w:p>
      <w:pPr>
        <w:pStyle w:val="Normal"/>
        <w:shd w:val="clear" w:color="auto" w:fill="FFFFFF"/>
        <w:spacing w:lineRule="auto" w:line="228"/>
        <w:ind w:right="4145" w:hanging="0"/>
        <w:rPr>
          <w:b/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>от 31 октября 2008 года № 409-П</w:t>
      </w:r>
    </w:p>
    <w:p>
      <w:pPr>
        <w:pStyle w:val="Normal"/>
        <w:shd w:val="clear" w:color="auto" w:fill="FFFFFF"/>
        <w:spacing w:lineRule="auto" w:line="228"/>
        <w:ind w:right="4145" w:hanging="0"/>
        <w:rPr>
          <w:b/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</w:r>
    </w:p>
    <w:p>
      <w:pPr>
        <w:pStyle w:val="ConsPlusNormal"/>
        <w:ind w:firstLine="709"/>
        <w:jc w:val="both"/>
        <w:rPr>
          <w:rFonts w:eastAsia="Times New Roman"/>
        </w:rPr>
      </w:pPr>
      <w:r>
        <w:rPr>
          <w:rFonts w:eastAsia="Times New Roman"/>
        </w:rPr>
        <w:t>На основании Устава (Основного Закона) Саратовской области Правительство области ПОСТАНОВЛЯЕТ:</w:t>
      </w:r>
    </w:p>
    <w:p>
      <w:pPr>
        <w:pStyle w:val="ConsPlusNormal"/>
        <w:ind w:firstLine="709"/>
        <w:jc w:val="both"/>
        <w:rPr/>
      </w:pPr>
      <w:r>
        <w:rPr/>
        <w:t>1. Внести в постановление Правительства Саратовской области от 31 октября 2008 года № 409-П «О Порядке представления администрациями муниципальных образований области документов и материалов,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области проекта местного бюджета на очередной финансовый год (очередной финансовый год и плановый период)» следующие изменения:</w:t>
      </w:r>
    </w:p>
    <w:p>
      <w:pPr>
        <w:pStyle w:val="ConsPlusNormal"/>
        <w:ind w:firstLine="709"/>
        <w:jc w:val="both"/>
        <w:rPr/>
      </w:pPr>
      <w:r>
        <w:rPr/>
        <w:t>в пункте 4 слова «первого заместителя Председателя Правительства области – министра финансов области» заменить словами «министра финансов области»;</w:t>
      </w:r>
    </w:p>
    <w:p>
      <w:pPr>
        <w:pStyle w:val="ConsPlusNormal"/>
        <w:ind w:firstLine="709"/>
        <w:jc w:val="both"/>
        <w:rPr/>
      </w:pPr>
      <w:r>
        <w:rPr/>
        <w:t>в приложении № 2:</w:t>
      </w:r>
    </w:p>
    <w:p>
      <w:pPr>
        <w:pStyle w:val="ConsPlusNormal"/>
        <w:ind w:firstLine="709"/>
        <w:jc w:val="both"/>
        <w:rPr/>
      </w:pPr>
      <w:r>
        <w:rPr/>
        <w:t>в абзаце четвертом пункта 4 слова «первым заместителем Председателя Правительства области – министром финансов области» заменить словами «министром финансов области»;</w:t>
      </w:r>
    </w:p>
    <w:p>
      <w:pPr>
        <w:pStyle w:val="ConsPlusNormal"/>
        <w:ind w:firstLine="709"/>
        <w:jc w:val="both"/>
        <w:rPr/>
      </w:pPr>
      <w:r>
        <w:rPr/>
        <w:t>пункт 5 изложить в следующей редакции:</w:t>
      </w:r>
    </w:p>
    <w:p>
      <w:pPr>
        <w:pStyle w:val="ConsPlusNormal"/>
        <w:ind w:firstLine="737"/>
        <w:jc w:val="both"/>
        <w:rPr/>
      </w:pPr>
      <w:r>
        <w:rPr/>
        <w:t>«5. Министерство финансов области не позднее следующего рабочего дня после дня подписания заключения министром финансов области обеспечивает его направление в администрацию и представительный орган соответствующего муниципального образования области с использованием системы электронного документооборота.».</w:t>
      </w:r>
    </w:p>
    <w:p>
      <w:pPr>
        <w:pStyle w:val="ConsPlusNormal"/>
        <w:ind w:firstLine="709"/>
        <w:jc w:val="both"/>
        <w:rPr/>
      </w:pPr>
      <w:r>
        <w:rPr/>
        <w:t>2. Министерству информации и печати области опубликовать настоящее постановление в течение десяти дней со дня его подписания.</w:t>
      </w:r>
    </w:p>
    <w:p>
      <w:pPr>
        <w:pStyle w:val="ConsPlusNormal"/>
        <w:ind w:firstLine="709"/>
        <w:jc w:val="both"/>
        <w:rPr/>
      </w:pPr>
      <w:r>
        <w:rPr/>
        <w:t xml:space="preserve">3. Настоящее постановление вступает в силу со дня его подписания. </w:t>
      </w:r>
    </w:p>
    <w:p>
      <w:pPr>
        <w:pStyle w:val="Normal"/>
        <w:widowControl/>
        <w:ind w:firstLine="709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</w:r>
    </w:p>
    <w:p>
      <w:pPr>
        <w:pStyle w:val="Normal"/>
        <w:widowControl/>
        <w:ind w:firstLine="709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</w:r>
    </w:p>
    <w:p>
      <w:pPr>
        <w:pStyle w:val="Normal"/>
        <w:widowControl/>
        <w:rPr>
          <w:b/>
          <w:b/>
          <w:spacing w:val="-10"/>
          <w:sz w:val="28"/>
          <w:szCs w:val="28"/>
        </w:rPr>
      </w:pPr>
      <w:r>
        <w:rPr>
          <w:b/>
          <w:spacing w:val="-10"/>
          <w:sz w:val="28"/>
          <w:szCs w:val="28"/>
        </w:rPr>
        <w:t>Вице-губернатор Саратовской области -</w:t>
      </w:r>
    </w:p>
    <w:p>
      <w:pPr>
        <w:pStyle w:val="Normal"/>
        <w:widowControl/>
        <w:rPr>
          <w:b/>
          <w:b/>
          <w:spacing w:val="-10"/>
          <w:sz w:val="28"/>
          <w:szCs w:val="28"/>
        </w:rPr>
      </w:pPr>
      <w:r>
        <w:rPr>
          <w:b/>
          <w:spacing w:val="-10"/>
          <w:sz w:val="28"/>
          <w:szCs w:val="28"/>
        </w:rPr>
        <w:t xml:space="preserve">Председатель Правительства </w:t>
      </w:r>
    </w:p>
    <w:p>
      <w:pPr>
        <w:pStyle w:val="Normal"/>
        <w:widowControl/>
        <w:rPr>
          <w:b/>
          <w:b/>
          <w:spacing w:val="-10"/>
          <w:sz w:val="28"/>
          <w:szCs w:val="28"/>
        </w:rPr>
      </w:pPr>
      <w:r>
        <w:rPr>
          <w:b/>
          <w:spacing w:val="-10"/>
          <w:sz w:val="28"/>
          <w:szCs w:val="28"/>
        </w:rPr>
        <w:t>Саратовской области                                                                                      Р.В. Бусаргин</w:t>
      </w:r>
    </w:p>
    <w:sectPr>
      <w:headerReference w:type="default" r:id="rId2"/>
      <w:type w:val="nextPage"/>
      <w:pgSz w:w="11906" w:h="16838"/>
      <w:pgMar w:left="1701" w:right="850" w:header="0" w:top="1134" w:footer="0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jc w:val="center"/>
      <w:rPr/>
    </w:pPr>
    <w:r>
      <w:rPr/>
    </w:r>
  </w:p>
  <w:p>
    <w:pPr>
      <w:pStyle w:val="Style26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Arial" w:cs="Arial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rial" w:cs="Times New Roman" w:eastAsiaTheme="minorEastAsia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"/>
    <w:qFormat/>
    <w:pPr>
      <w:keepNext w:val="true"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Normal"/>
    <w:next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next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next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next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next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next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next w:val="Normal"/>
    <w:link w:val="80"/>
    <w:qFormat/>
    <w:pPr>
      <w:keepNext w:val="true"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Normal"/>
    <w:next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Цитата 2 Знак1"/>
    <w:basedOn w:val="DefaultParagraphFont"/>
    <w:link w:val="20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tyle5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6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7" w:customStyle="1">
    <w:name w:val="Текст сноски Знак"/>
    <w:uiPriority w:val="99"/>
    <w:qFormat/>
    <w:rPr>
      <w:sz w:val="18"/>
    </w:rPr>
  </w:style>
  <w:style w:type="character" w:styleId="Style8" w:customStyle="1">
    <w:name w:val="Привязка сноски"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9" w:customStyle="1">
    <w:name w:val="Текст концевой сноски Знак"/>
    <w:uiPriority w:val="99"/>
    <w:qFormat/>
    <w:rPr>
      <w:sz w:val="20"/>
    </w:rPr>
  </w:style>
  <w:style w:type="character" w:styleId="Style10" w:customStyle="1">
    <w:name w:val="Привязка концевой сноски"/>
    <w:rPr>
      <w:vertAlign w:val="superscript"/>
    </w:rPr>
  </w:style>
  <w:style w:type="character" w:styleId="EndnoteCharacters" w:customStyle="1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81" w:customStyle="1">
    <w:name w:val="Заголовок 8 Знак"/>
    <w:basedOn w:val="DefaultParagraphFont"/>
    <w:link w:val="8"/>
    <w:qFormat/>
    <w:rPr>
      <w:rFonts w:ascii="Times New Roman" w:hAnsi="Times New Roman" w:eastAsia="Times New Roman" w:cs="Times New Roman"/>
      <w:b/>
      <w:bCs/>
      <w:sz w:val="24"/>
      <w:szCs w:val="20"/>
    </w:rPr>
  </w:style>
  <w:style w:type="character" w:styleId="Style11" w:customStyle="1">
    <w:name w:val="Верх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2" w:customStyle="1">
    <w:name w:val="Нижний колонтитул Знак"/>
    <w:basedOn w:val="DefaultParagraphFont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styleId="Style13" w:customStyle="1">
    <w:name w:val="Текст выноски Знак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yle14" w:customStyle="1">
    <w:name w:val="Интернет-ссылка"/>
    <w:basedOn w:val="DefaultParagraphFont"/>
    <w:uiPriority w:val="99"/>
    <w:semiHidden/>
    <w:unhideWhenUsed/>
    <w:rPr>
      <w:color w:val="0000FF"/>
      <w:u w:val="single"/>
    </w:rPr>
  </w:style>
  <w:style w:type="character" w:styleId="Style15" w:customStyle="1">
    <w:name w:val="Название Знак"/>
    <w:basedOn w:val="DefaultParagraphFont"/>
    <w:qFormat/>
    <w:rPr>
      <w:b/>
      <w:bCs/>
      <w:sz w:val="28"/>
      <w:szCs w:val="24"/>
    </w:rPr>
  </w:style>
  <w:style w:type="character" w:styleId="12" w:customStyle="1">
    <w:name w:val="Название Знак1"/>
    <w:basedOn w:val="DefaultParagraphFont"/>
    <w:uiPriority w:val="10"/>
    <w:qFormat/>
    <w:rPr>
      <w:rFonts w:ascii="Cambria" w:hAnsi="Cambria" w:eastAsia="Arial" w:cs="Arial" w:asciiTheme="majorHAnsi" w:cstheme="majorBidi" w:eastAsiaTheme="majorEastAsia" w:hAnsiTheme="majorHAnsi"/>
      <w:color w:val="17365D" w:themeColor="text2" w:themeShade="bf"/>
      <w:spacing w:val="5"/>
      <w:sz w:val="52"/>
      <w:szCs w:val="52"/>
    </w:rPr>
  </w:style>
  <w:style w:type="character" w:styleId="Pagenumber">
    <w:name w:val="page number"/>
    <w:basedOn w:val="DefaultParagraphFont"/>
    <w:qFormat/>
    <w:rPr/>
  </w:style>
  <w:style w:type="character" w:styleId="Style16" w:customStyle="1">
    <w:name w:val="Символ нумерации"/>
    <w:qFormat/>
    <w:rPr/>
  </w:style>
  <w:style w:type="paragraph" w:styleId="Style17" w:customStyle="1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Droid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Droid Sans Devanagari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Droid Sans Devanagari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Arial" w:cs="Arial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Style22">
    <w:name w:val="Subtitle"/>
    <w:basedOn w:val="Normal"/>
    <w:next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3">
    <w:name w:val="Footnote Text"/>
    <w:basedOn w:val="Normal"/>
    <w:uiPriority w:val="99"/>
    <w:semiHidden/>
    <w:unhideWhenUsed/>
    <w:pPr>
      <w:spacing w:before="0" w:after="40"/>
    </w:pPr>
    <w:rPr>
      <w:sz w:val="18"/>
    </w:rPr>
  </w:style>
  <w:style w:type="paragraph" w:styleId="Style24">
    <w:name w:val="Endnote Text"/>
    <w:basedOn w:val="Normal"/>
    <w:uiPriority w:val="99"/>
    <w:semiHidden/>
    <w:unhideWhenUsed/>
    <w:pPr/>
    <w:rPr/>
  </w:style>
  <w:style w:type="paragraph" w:styleId="13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next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next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next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next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next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next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next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Arial" w:cs="Arial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Style25" w:customStyle="1">
    <w:name w:val="Верхний и нижний колонтитулы"/>
    <w:basedOn w:val="Normal"/>
    <w:qFormat/>
    <w:pPr/>
    <w:rPr/>
  </w:style>
  <w:style w:type="paragraph" w:styleId="Style26">
    <w:name w:val="Header"/>
    <w:basedOn w:val="Normal"/>
    <w:uiPriority w:val="99"/>
    <w:pPr>
      <w:widowControl/>
      <w:tabs>
        <w:tab w:val="clear" w:pos="720"/>
        <w:tab w:val="center" w:pos="4677" w:leader="none"/>
        <w:tab w:val="right" w:pos="9355" w:leader="none"/>
      </w:tabs>
    </w:pPr>
    <w:rPr>
      <w:rFonts w:eastAsia="Times New Roman"/>
    </w:rPr>
  </w:style>
  <w:style w:type="paragraph" w:styleId="NormalWeb">
    <w:name w:val="Normal (Web)"/>
    <w:basedOn w:val="Normal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Style27">
    <w:name w:val="Footer"/>
    <w:basedOn w:val="Normal"/>
    <w:unhideWhenUsed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Title" w:customStyle="1">
    <w:name w:val="ConsPlusTitle"/>
    <w:uiPriority w:val="99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 w:cstheme="minorBidi"/>
      <w:b/>
      <w:bCs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" w:cs="Times New Roman" w:eastAsiaTheme="minorEastAsia"/>
      <w:color w:val="auto"/>
      <w:kern w:val="0"/>
      <w:sz w:val="28"/>
      <w:szCs w:val="28"/>
      <w:lang w:val="ru-RU" w:eastAsia="ru-RU" w:bidi="ar-SA"/>
    </w:rPr>
  </w:style>
  <w:style w:type="paragraph" w:styleId="Style28">
    <w:name w:val="Title"/>
    <w:basedOn w:val="Normal"/>
    <w:qFormat/>
    <w:pPr>
      <w:widowControl/>
      <w:jc w:val="center"/>
    </w:pPr>
    <w:rPr>
      <w:rFonts w:ascii="Calibri" w:hAnsi="Calibri" w:cs="Arial" w:asciiTheme="minorHAnsi" w:cstheme="minorBidi" w:hAnsiTheme="minorHAnsi"/>
      <w:b/>
      <w:bCs/>
      <w:sz w:val="28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auto"/>
      </w:tcPr>
    </w:tblStylePr>
    <w:tblStylePr w:type="band1Horz">
      <w:rPr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auto"/>
      </w:tcPr>
    </w:tblStylePr>
    <w:tblStylePr w:type="band1Horz">
      <w:rPr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auto"/>
      </w:tcPr>
    </w:tblStylePr>
    <w:tblStylePr w:type="band1Horz">
      <w:rPr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auto"/>
      </w:tcPr>
    </w:tblStylePr>
    <w:tblStylePr w:type="firstCol">
      <w:rPr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auto"/>
      </w:tcPr>
    </w:tblStylePr>
    <w:tblStylePr w:type="firstCol">
      <w:rPr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auto"/>
      </w:tcPr>
    </w:tblStylePr>
    <w:tblStylePr w:type="firstCol">
      <w:rPr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auto"/>
      </w:tcPr>
    </w:tblStylePr>
    <w:tblStylePr w:type="firstCol">
      <w:rPr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auto"/>
      </w:tcPr>
    </w:tblStylePr>
    <w:tblStylePr w:type="firstCol">
      <w:rPr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auto"/>
      </w:tcPr>
    </w:tblStylePr>
    <w:tblStylePr w:type="firstCol">
      <w:rPr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auto"/>
      </w:tcPr>
    </w:tblStylePr>
    <w:tblStylePr w:type="firstCol">
      <w:rPr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auto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auto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auto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auto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auto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auto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auto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auto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auto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auto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auto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auto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auto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auto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auto"/>
      </w:tcPr>
    </w:tblStylePr>
    <w:tblStylePr w:type="band1Horz">
      <w:rPr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auto"/>
      </w:tcPr>
    </w:tblStylePr>
    <w:tblStylePr w:type="band1Horz">
      <w:rPr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auto"/>
      </w:tcPr>
    </w:tblStylePr>
    <w:tblStylePr w:type="band1Horz">
      <w:rPr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auto"/>
      </w:tcPr>
    </w:tblStylePr>
    <w:tblStylePr w:type="band1Horz">
      <w:rPr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auto"/>
      </w:tcPr>
    </w:tblStylePr>
    <w:tblStylePr w:type="band1Horz">
      <w:rPr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auto"/>
      </w:tcPr>
    </w:tblStylePr>
    <w:tblStylePr w:type="band1Horz">
      <w:rPr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auto"/>
      </w:tcPr>
    </w:tblStylePr>
    <w:tblStylePr w:type="band1Horz">
      <w:rPr>
        <w:color w:val="404040"/>
        <w:sz w:val="22"/>
      </w:rPr>
      <w:tblPr/>
      <w:tcPr>
        <w:shd w:val="clear" w:color="FDE4D0" w:fill="auto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auto"/>
      </w:tcPr>
    </w:tblStylePr>
    <w:tblStylePr w:type="band1Horz">
      <w:rPr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auto"/>
      </w:tcPr>
    </w:tblStylePr>
    <w:tblStylePr w:type="band1Horz">
      <w:rPr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auto"/>
      </w:tcPr>
    </w:tblStylePr>
    <w:tblStylePr w:type="band1Horz">
      <w:rPr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auto"/>
      </w:tcPr>
    </w:tblStylePr>
    <w:tblStylePr w:type="band1Horz">
      <w:rPr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auto"/>
      </w:tcPr>
    </w:tblStylePr>
    <w:tblStylePr w:type="band1Horz">
      <w:rPr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auto"/>
      </w:tcPr>
    </w:tblStylePr>
    <w:tblStylePr w:type="band1Horz">
      <w:rPr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auto"/>
      </w:tcPr>
    </w:tblStylePr>
    <w:tblStylePr w:type="band1Horz">
      <w:rPr>
        <w:color w:val="404040"/>
        <w:sz w:val="22"/>
      </w:rPr>
      <w:tblPr/>
      <w:tcPr>
        <w:shd w:val="clear" w:color="FDE4D0" w:fill="auto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auto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auto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auto"/>
      </w:tcPr>
    </w:tblStylePr>
    <w:tblStylePr w:type="band1Horz">
      <w:rPr>
        <w:color w:val="000000" w:themeColor="text1"/>
        <w:sz w:val="22"/>
      </w:rPr>
      <w:tblPr/>
      <w:tcPr>
        <w:shd w:val="clear" w:color="BFBFBF" w:fill="auto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auto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auto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auto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auto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auto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auto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auto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auto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auto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auto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auto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auto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auto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auto"/>
      </w:tcPr>
    </w:tblStylePr>
    <w:tblStylePr w:type="lastRow">
      <w:rPr>
        <w:color w:val="F2F2F2"/>
        <w:sz w:val="22"/>
      </w:rPr>
      <w:tblPr/>
      <w:tcPr>
        <w:shd w:val="clear" w:color="7F7F7F" w:fill="auto"/>
      </w:tcPr>
    </w:tblStylePr>
    <w:tblStylePr w:type="firstCol">
      <w:rPr>
        <w:color w:val="F2F2F2"/>
        <w:sz w:val="22"/>
      </w:rPr>
      <w:tblPr/>
      <w:tcPr>
        <w:shd w:val="clear" w:color="7F7F7F" w:fill="auto"/>
      </w:tcPr>
    </w:tblStylePr>
    <w:tblStylePr w:type="lastCol">
      <w:rPr>
        <w:color w:val="F2F2F2"/>
        <w:sz w:val="22"/>
      </w:rPr>
      <w:tblPr/>
      <w:tcPr>
        <w:shd w:val="clear" w:color="7F7F7F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auto"/>
      </w:tcPr>
    </w:tblStylePr>
    <w:tblStylePr w:type="lastRow">
      <w:rPr>
        <w:color w:val="F2F2F2"/>
        <w:sz w:val="22"/>
      </w:rPr>
      <w:tblPr/>
      <w:tcPr>
        <w:shd w:val="clear" w:color="5D8AC2" w:fill="auto"/>
      </w:tcPr>
    </w:tblStylePr>
    <w:tblStylePr w:type="firstCol">
      <w:rPr>
        <w:color w:val="F2F2F2"/>
        <w:sz w:val="22"/>
      </w:rPr>
      <w:tblPr/>
      <w:tcPr>
        <w:shd w:val="clear" w:color="5D8AC2" w:fill="auto"/>
      </w:tcPr>
    </w:tblStylePr>
    <w:tblStylePr w:type="lastCol">
      <w:rPr>
        <w:color w:val="F2F2F2"/>
        <w:sz w:val="22"/>
      </w:rPr>
      <w:tblPr/>
      <w:tcPr>
        <w:shd w:val="clear" w:color="5D8AC2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auto"/>
      </w:tcPr>
    </w:tblStylePr>
    <w:tblStylePr w:type="lastRow">
      <w:rPr>
        <w:color w:val="F2F2F2"/>
        <w:sz w:val="22"/>
      </w:rPr>
      <w:tblPr/>
      <w:tcPr>
        <w:shd w:val="clear" w:color="D99695" w:fill="auto"/>
      </w:tcPr>
    </w:tblStylePr>
    <w:tblStylePr w:type="firstCol">
      <w:rPr>
        <w:color w:val="F2F2F2"/>
        <w:sz w:val="22"/>
      </w:rPr>
      <w:tblPr/>
      <w:tcPr>
        <w:shd w:val="clear" w:color="D99695" w:fill="auto"/>
      </w:tcPr>
    </w:tblStylePr>
    <w:tblStylePr w:type="lastCol">
      <w:rPr>
        <w:color w:val="F2F2F2"/>
        <w:sz w:val="22"/>
      </w:rPr>
      <w:tblPr/>
      <w:tcPr>
        <w:shd w:val="clear" w:color="D99695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auto"/>
      </w:tcPr>
    </w:tblStylePr>
    <w:tblStylePr w:type="lastRow">
      <w:rPr>
        <w:color w:val="F2F2F2"/>
        <w:sz w:val="22"/>
      </w:rPr>
      <w:tblPr/>
      <w:tcPr>
        <w:shd w:val="clear" w:color="9ABB59" w:fill="auto"/>
      </w:tcPr>
    </w:tblStylePr>
    <w:tblStylePr w:type="firstCol">
      <w:rPr>
        <w:color w:val="F2F2F2"/>
        <w:sz w:val="22"/>
      </w:rPr>
      <w:tblPr/>
      <w:tcPr>
        <w:shd w:val="clear" w:color="9ABB59" w:fill="auto"/>
      </w:tcPr>
    </w:tblStylePr>
    <w:tblStylePr w:type="lastCol">
      <w:rPr>
        <w:color w:val="F2F2F2"/>
        <w:sz w:val="22"/>
      </w:rPr>
      <w:tblPr/>
      <w:tcPr>
        <w:shd w:val="clear" w:color="9ABB59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auto"/>
      </w:tcPr>
    </w:tblStylePr>
    <w:tblStylePr w:type="lastRow">
      <w:rPr>
        <w:color w:val="F2F2F2"/>
        <w:sz w:val="22"/>
      </w:rPr>
      <w:tblPr/>
      <w:tcPr>
        <w:shd w:val="clear" w:color="B2A1C6" w:fill="auto"/>
      </w:tcPr>
    </w:tblStylePr>
    <w:tblStylePr w:type="firstCol">
      <w:rPr>
        <w:color w:val="F2F2F2"/>
        <w:sz w:val="22"/>
      </w:rPr>
      <w:tblPr/>
      <w:tcPr>
        <w:shd w:val="clear" w:color="B2A1C6" w:fill="auto"/>
      </w:tcPr>
    </w:tblStylePr>
    <w:tblStylePr w:type="lastCol">
      <w:rPr>
        <w:color w:val="F2F2F2"/>
        <w:sz w:val="22"/>
      </w:rPr>
      <w:tblPr/>
      <w:tcPr>
        <w:shd w:val="clear" w:color="B2A1C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auto"/>
      </w:tcPr>
    </w:tblStylePr>
    <w:tblStylePr w:type="lastRow">
      <w:rPr>
        <w:color w:val="F2F2F2"/>
        <w:sz w:val="22"/>
      </w:rPr>
      <w:tblPr/>
      <w:tcPr>
        <w:shd w:val="clear" w:color="4BACC6" w:fill="auto"/>
      </w:tcPr>
    </w:tblStylePr>
    <w:tblStylePr w:type="firstCol">
      <w:rPr>
        <w:color w:val="F2F2F2"/>
        <w:sz w:val="22"/>
      </w:rPr>
      <w:tblPr/>
      <w:tcPr>
        <w:shd w:val="clear" w:color="4BACC6" w:fill="auto"/>
      </w:tcPr>
    </w:tblStylePr>
    <w:tblStylePr w:type="lastCol">
      <w:rPr>
        <w:color w:val="F2F2F2"/>
        <w:sz w:val="22"/>
      </w:rPr>
      <w:tblPr/>
      <w:tcPr>
        <w:shd w:val="clear" w:color="4BACC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auto"/>
      </w:tcPr>
    </w:tblStylePr>
    <w:tblStylePr w:type="lastRow">
      <w:rPr>
        <w:color w:val="F2F2F2"/>
        <w:sz w:val="22"/>
      </w:rPr>
      <w:tblPr/>
      <w:tcPr>
        <w:shd w:val="clear" w:color="F79646" w:fill="auto"/>
      </w:tcPr>
    </w:tblStylePr>
    <w:tblStylePr w:type="firstCol">
      <w:rPr>
        <w:color w:val="F2F2F2"/>
        <w:sz w:val="22"/>
      </w:rPr>
      <w:tblPr/>
      <w:tcPr>
        <w:shd w:val="clear" w:color="F79646" w:fill="auto"/>
      </w:tcPr>
    </w:tblStylePr>
    <w:tblStylePr w:type="lastCol">
      <w:rPr>
        <w:color w:val="F2F2F2"/>
        <w:sz w:val="22"/>
      </w:rPr>
      <w:tblPr/>
      <w:tcPr>
        <w:shd w:val="clear" w:color="F7964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auto"/>
      </w:tcPr>
    </w:tblStylePr>
    <w:tblStylePr w:type="lastRow">
      <w:rPr>
        <w:color w:val="F2F2F2"/>
        <w:sz w:val="22"/>
      </w:rPr>
      <w:tblPr/>
      <w:tcPr>
        <w:shd w:val="clear" w:color="7F7F7F" w:fill="auto"/>
      </w:tcPr>
    </w:tblStylePr>
    <w:tblStylePr w:type="firstCol">
      <w:rPr>
        <w:color w:val="F2F2F2"/>
        <w:sz w:val="22"/>
      </w:rPr>
      <w:tblPr/>
      <w:tcPr>
        <w:shd w:val="clear" w:color="7F7F7F" w:fill="auto"/>
      </w:tcPr>
    </w:tblStylePr>
    <w:tblStylePr w:type="lastCol">
      <w:rPr>
        <w:color w:val="F2F2F2"/>
        <w:sz w:val="22"/>
      </w:rPr>
      <w:tblPr/>
      <w:tcPr>
        <w:shd w:val="clear" w:color="7F7F7F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auto"/>
      </w:tcPr>
    </w:tblStylePr>
    <w:tblStylePr w:type="lastRow">
      <w:rPr>
        <w:color w:val="F2F2F2"/>
        <w:sz w:val="22"/>
      </w:rPr>
      <w:tblPr/>
      <w:tcPr>
        <w:shd w:val="clear" w:color="5D8AC2" w:fill="auto"/>
      </w:tcPr>
    </w:tblStylePr>
    <w:tblStylePr w:type="firstCol">
      <w:rPr>
        <w:color w:val="F2F2F2"/>
        <w:sz w:val="22"/>
      </w:rPr>
      <w:tblPr/>
      <w:tcPr>
        <w:shd w:val="clear" w:color="5D8AC2" w:fill="auto"/>
      </w:tcPr>
    </w:tblStylePr>
    <w:tblStylePr w:type="lastCol">
      <w:rPr>
        <w:color w:val="F2F2F2"/>
        <w:sz w:val="22"/>
      </w:rPr>
      <w:tblPr/>
      <w:tcPr>
        <w:shd w:val="clear" w:color="5D8AC2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auto"/>
      </w:tcPr>
    </w:tblStylePr>
    <w:tblStylePr w:type="lastRow">
      <w:rPr>
        <w:color w:val="F2F2F2"/>
        <w:sz w:val="22"/>
      </w:rPr>
      <w:tblPr/>
      <w:tcPr>
        <w:shd w:val="clear" w:color="D99695" w:fill="auto"/>
      </w:tcPr>
    </w:tblStylePr>
    <w:tblStylePr w:type="firstCol">
      <w:rPr>
        <w:color w:val="F2F2F2"/>
        <w:sz w:val="22"/>
      </w:rPr>
      <w:tblPr/>
      <w:tcPr>
        <w:shd w:val="clear" w:color="D99695" w:fill="auto"/>
      </w:tcPr>
    </w:tblStylePr>
    <w:tblStylePr w:type="lastCol">
      <w:rPr>
        <w:color w:val="F2F2F2"/>
        <w:sz w:val="22"/>
      </w:rPr>
      <w:tblPr/>
      <w:tcPr>
        <w:shd w:val="clear" w:color="D99695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auto"/>
      </w:tcPr>
    </w:tblStylePr>
    <w:tblStylePr w:type="lastRow">
      <w:rPr>
        <w:color w:val="F2F2F2"/>
        <w:sz w:val="22"/>
      </w:rPr>
      <w:tblPr/>
      <w:tcPr>
        <w:shd w:val="clear" w:color="9ABB59" w:fill="auto"/>
      </w:tcPr>
    </w:tblStylePr>
    <w:tblStylePr w:type="firstCol">
      <w:rPr>
        <w:color w:val="F2F2F2"/>
        <w:sz w:val="22"/>
      </w:rPr>
      <w:tblPr/>
      <w:tcPr>
        <w:shd w:val="clear" w:color="9ABB59" w:fill="auto"/>
      </w:tcPr>
    </w:tblStylePr>
    <w:tblStylePr w:type="lastCol">
      <w:rPr>
        <w:color w:val="F2F2F2"/>
        <w:sz w:val="22"/>
      </w:rPr>
      <w:tblPr/>
      <w:tcPr>
        <w:shd w:val="clear" w:color="9ABB59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auto"/>
      </w:tcPr>
    </w:tblStylePr>
    <w:tblStylePr w:type="lastRow">
      <w:rPr>
        <w:color w:val="F2F2F2"/>
        <w:sz w:val="22"/>
      </w:rPr>
      <w:tblPr/>
      <w:tcPr>
        <w:shd w:val="clear" w:color="B2A1C6" w:fill="auto"/>
      </w:tcPr>
    </w:tblStylePr>
    <w:tblStylePr w:type="firstCol">
      <w:rPr>
        <w:color w:val="F2F2F2"/>
        <w:sz w:val="22"/>
      </w:rPr>
      <w:tblPr/>
      <w:tcPr>
        <w:shd w:val="clear" w:color="B2A1C6" w:fill="auto"/>
      </w:tcPr>
    </w:tblStylePr>
    <w:tblStylePr w:type="lastCol">
      <w:rPr>
        <w:color w:val="F2F2F2"/>
        <w:sz w:val="22"/>
      </w:rPr>
      <w:tblPr/>
      <w:tcPr>
        <w:shd w:val="clear" w:color="B2A1C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auto"/>
      </w:tcPr>
    </w:tblStylePr>
    <w:tblStylePr w:type="lastRow">
      <w:rPr>
        <w:color w:val="F2F2F2"/>
        <w:sz w:val="22"/>
      </w:rPr>
      <w:tblPr/>
      <w:tcPr>
        <w:shd w:val="clear" w:color="4BACC6" w:fill="auto"/>
      </w:tcPr>
    </w:tblStylePr>
    <w:tblStylePr w:type="firstCol">
      <w:rPr>
        <w:color w:val="F2F2F2"/>
        <w:sz w:val="22"/>
      </w:rPr>
      <w:tblPr/>
      <w:tcPr>
        <w:shd w:val="clear" w:color="4BACC6" w:fill="auto"/>
      </w:tcPr>
    </w:tblStylePr>
    <w:tblStylePr w:type="lastCol">
      <w:rPr>
        <w:color w:val="F2F2F2"/>
        <w:sz w:val="22"/>
      </w:rPr>
      <w:tblPr/>
      <w:tcPr>
        <w:shd w:val="clear" w:color="4BACC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auto"/>
      </w:tcPr>
    </w:tblStylePr>
    <w:tblStylePr w:type="lastRow">
      <w:rPr>
        <w:color w:val="F2F2F2"/>
        <w:sz w:val="22"/>
      </w:rPr>
      <w:tblPr/>
      <w:tcPr>
        <w:shd w:val="clear" w:color="F79646" w:fill="auto"/>
      </w:tcPr>
    </w:tblStylePr>
    <w:tblStylePr w:type="firstCol">
      <w:rPr>
        <w:color w:val="F2F2F2"/>
        <w:sz w:val="22"/>
      </w:rPr>
      <w:tblPr/>
      <w:tcPr>
        <w:shd w:val="clear" w:color="F79646" w:fill="auto"/>
      </w:tcPr>
    </w:tblStylePr>
    <w:tblStylePr w:type="lastCol">
      <w:rPr>
        <w:color w:val="F2F2F2"/>
        <w:sz w:val="22"/>
      </w:rPr>
      <w:tblPr/>
      <w:tcPr>
        <w:shd w:val="clear" w:color="F79646" w:fill="auto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auto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A57B477B-55DA-4051-B61D-CBE536C1B0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LibreOffice/7.0.6.2$Linux_X86_64 LibreOffice_project/00$Build-2</Application>
  <AppVersion>15.0000</AppVersion>
  <Pages>1</Pages>
  <Words>203</Words>
  <Characters>1516</Characters>
  <CharactersWithSpaces>1790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2021-11-18T12:25:00Z</dcterms:created>
  <dc:creator>Уполовникова</dc:creator>
  <dc:description/>
  <dc:language>ru-RU</dc:language>
  <cp:lastModifiedBy>Ивантьева Елена Михайловна</cp:lastModifiedBy>
  <cp:lastPrinted>2021-11-17T17:26:00Z</cp:lastPrinted>
  <dcterms:modified xsi:type="dcterms:W3CDTF">2021-11-18T12:25:00Z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