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26" w:rsidRPr="00C6629D" w:rsidRDefault="004A6426" w:rsidP="00C6629D">
      <w:pPr>
        <w:jc w:val="center"/>
        <w:rPr>
          <w:b/>
          <w:szCs w:val="28"/>
        </w:rPr>
      </w:pPr>
      <w:r w:rsidRPr="00C6629D">
        <w:rPr>
          <w:b/>
          <w:szCs w:val="28"/>
        </w:rPr>
        <w:t xml:space="preserve">Пояснительная записка </w:t>
      </w:r>
    </w:p>
    <w:p w:rsidR="004A6426" w:rsidRPr="00C6629D" w:rsidRDefault="004A6426" w:rsidP="00C6629D">
      <w:pPr>
        <w:jc w:val="center"/>
        <w:rPr>
          <w:b/>
          <w:szCs w:val="28"/>
        </w:rPr>
      </w:pPr>
      <w:r w:rsidRPr="00C6629D">
        <w:rPr>
          <w:b/>
          <w:szCs w:val="28"/>
        </w:rPr>
        <w:t xml:space="preserve">к проекту закона Саратовской области </w:t>
      </w:r>
    </w:p>
    <w:p w:rsidR="004A6426" w:rsidRPr="00C6629D" w:rsidRDefault="004A6426" w:rsidP="00C6629D">
      <w:pPr>
        <w:jc w:val="center"/>
        <w:rPr>
          <w:b/>
          <w:szCs w:val="28"/>
        </w:rPr>
      </w:pPr>
      <w:r w:rsidRPr="00C6629D">
        <w:rPr>
          <w:b/>
          <w:szCs w:val="28"/>
        </w:rPr>
        <w:t>«Об исполнении областного бюджета за 20</w:t>
      </w:r>
      <w:r w:rsidR="002F0177" w:rsidRPr="00C6629D">
        <w:rPr>
          <w:b/>
          <w:szCs w:val="28"/>
        </w:rPr>
        <w:t>20</w:t>
      </w:r>
      <w:r w:rsidRPr="00C6629D">
        <w:rPr>
          <w:b/>
          <w:szCs w:val="28"/>
        </w:rPr>
        <w:t xml:space="preserve"> год»</w:t>
      </w:r>
    </w:p>
    <w:p w:rsidR="0039787A" w:rsidRPr="00C6629D" w:rsidRDefault="0039787A" w:rsidP="00C6629D">
      <w:pPr>
        <w:ind w:firstLine="697"/>
        <w:jc w:val="both"/>
        <w:rPr>
          <w:szCs w:val="28"/>
        </w:rPr>
      </w:pP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Областной бюджет исполнен по доходам в сумме 128363162,8 тыс. рублей или 99,6% к уточненным годовым бюджетным назначениям.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proofErr w:type="gramStart"/>
      <w:r w:rsidRPr="00C6629D">
        <w:rPr>
          <w:szCs w:val="28"/>
        </w:rPr>
        <w:t>По итогам 2020 года объем налоговых и неналоговых доходов областного бюджета составил 67804619,5 тыс. рублей и уменьшился относительно 2019 года на 8</w:t>
      </w:r>
      <w:r w:rsidR="00FA6B52" w:rsidRPr="00C6629D">
        <w:rPr>
          <w:szCs w:val="28"/>
        </w:rPr>
        <w:t xml:space="preserve">66248,4 тыс. рублей или на 1,3%, что явилось следствием негативных тенденций в экономике в связи с распространением новой </w:t>
      </w:r>
      <w:proofErr w:type="spellStart"/>
      <w:r w:rsidR="00FA6B52" w:rsidRPr="00C6629D">
        <w:rPr>
          <w:szCs w:val="28"/>
        </w:rPr>
        <w:t>коронавирусной</w:t>
      </w:r>
      <w:proofErr w:type="spellEnd"/>
      <w:r w:rsidR="00FA6B52" w:rsidRPr="00C6629D">
        <w:rPr>
          <w:szCs w:val="28"/>
        </w:rPr>
        <w:t xml:space="preserve"> инфекции </w:t>
      </w:r>
      <w:r w:rsidR="00FA6B52" w:rsidRPr="00C6629D">
        <w:rPr>
          <w:szCs w:val="28"/>
          <w:lang w:val="en-US"/>
        </w:rPr>
        <w:t>COVID</w:t>
      </w:r>
      <w:r w:rsidR="00FA6B52" w:rsidRPr="00C6629D">
        <w:rPr>
          <w:szCs w:val="28"/>
        </w:rPr>
        <w:t>-19, повлекших снижение спроса и предложения, оказанными мерами поддержки бизнесу (введением налоговых льгот).</w:t>
      </w:r>
      <w:proofErr w:type="gramEnd"/>
      <w:r w:rsidR="00FA6B52" w:rsidRPr="00C6629D">
        <w:rPr>
          <w:szCs w:val="28"/>
        </w:rPr>
        <w:t xml:space="preserve"> </w:t>
      </w:r>
      <w:r w:rsidRPr="00C6629D">
        <w:rPr>
          <w:szCs w:val="28"/>
        </w:rPr>
        <w:t>Уточненные плановые назначения исполнены на 101,5%.</w:t>
      </w:r>
    </w:p>
    <w:p w:rsidR="00D61DA0" w:rsidRPr="00C6629D" w:rsidRDefault="00D61DA0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Объем налоговых доходов областного бюджета составил за 2020 год 66458229,7 тыс. рублей со снижением к факту 2019 года на 777710,7 тыс. рублей, или на 1,2%.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Объем налога на прибыль составил за 2020 год 17576103,7 тыс. рублей. За счет налога обеспечено 25,9% общего объема налоговых и неналоговых доходов </w:t>
      </w:r>
      <w:r w:rsidR="00C14E62" w:rsidRPr="00C6629D">
        <w:rPr>
          <w:szCs w:val="28"/>
        </w:rPr>
        <w:t>областного бюджета. О</w:t>
      </w:r>
      <w:r w:rsidRPr="00C6629D">
        <w:rPr>
          <w:szCs w:val="28"/>
        </w:rPr>
        <w:t xml:space="preserve">тносительно 2019 года структурная доля в общем объеме налоговых и неналоговых доходов </w:t>
      </w:r>
      <w:r w:rsidR="00C14E62" w:rsidRPr="00C6629D">
        <w:rPr>
          <w:szCs w:val="28"/>
        </w:rPr>
        <w:t xml:space="preserve">по данному налогу </w:t>
      </w:r>
      <w:r w:rsidRPr="00C6629D">
        <w:rPr>
          <w:szCs w:val="28"/>
        </w:rPr>
        <w:t>сократилась на 4,3 процентных пункта.</w:t>
      </w:r>
      <w:r w:rsidR="00C14E62" w:rsidRPr="00C6629D">
        <w:rPr>
          <w:szCs w:val="28"/>
        </w:rPr>
        <w:t xml:space="preserve"> </w:t>
      </w:r>
      <w:proofErr w:type="gramStart"/>
      <w:r w:rsidR="00C14E62" w:rsidRPr="00C6629D">
        <w:rPr>
          <w:szCs w:val="28"/>
        </w:rPr>
        <w:t xml:space="preserve">Общее снижение поступлений </w:t>
      </w:r>
      <w:r w:rsidRPr="00C6629D">
        <w:rPr>
          <w:szCs w:val="28"/>
        </w:rPr>
        <w:t>по налогу на прибыль относительно 2019 года составило 3154417,0 тыс. рублей, или 15,2%.</w:t>
      </w:r>
      <w:r w:rsidR="00C14E62" w:rsidRPr="00C6629D">
        <w:rPr>
          <w:szCs w:val="28"/>
        </w:rPr>
        <w:t xml:space="preserve"> </w:t>
      </w:r>
      <w:r w:rsidRPr="00C6629D">
        <w:rPr>
          <w:szCs w:val="28"/>
        </w:rPr>
        <w:t>Отрицательная динамика обусловлена в большей степени снижением поступлений от консолидированных групп налогоплательщиков (далее – КГН), на 27,9%. Платежи от КГН обеспечили 23,5% общего объема поступлений по налогу, в 2019 году такая доля составляла 27,7%. Платежи от организаций, не входящих в КГН, снизились на 10,4%.</w:t>
      </w:r>
      <w:proofErr w:type="gramEnd"/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pacing w:val="-4"/>
          <w:szCs w:val="28"/>
        </w:rPr>
        <w:t>Налог на доходы физических лиц поступил в сумме 25280931,8 тыс. рублей, что составило 37,3% общего объема налоговых и неналоговых доходов</w:t>
      </w:r>
      <w:r w:rsidR="00163854" w:rsidRPr="00C6629D">
        <w:rPr>
          <w:spacing w:val="-4"/>
          <w:szCs w:val="28"/>
        </w:rPr>
        <w:t>,</w:t>
      </w:r>
      <w:r w:rsidRPr="00C6629D">
        <w:rPr>
          <w:spacing w:val="-4"/>
          <w:szCs w:val="28"/>
        </w:rPr>
        <w:t xml:space="preserve"> </w:t>
      </w:r>
      <w:r w:rsidR="00163854" w:rsidRPr="00C6629D">
        <w:rPr>
          <w:spacing w:val="-4"/>
          <w:szCs w:val="28"/>
        </w:rPr>
        <w:t>что</w:t>
      </w:r>
      <w:r w:rsidRPr="00C6629D">
        <w:rPr>
          <w:spacing w:val="-4"/>
          <w:szCs w:val="28"/>
        </w:rPr>
        <w:t xml:space="preserve"> на 3,8 процентных пункта выше данного показателя за 2019 год. Платежи по налогу превысили уровень 2019 года на 2268949,3 тыс. рублей, или на 9,9% (бюджетными назначениями был предусмотрен рост к 2019 году на 6,0%)</w:t>
      </w:r>
      <w:r w:rsidRPr="00C6629D">
        <w:rPr>
          <w:szCs w:val="28"/>
        </w:rPr>
        <w:t>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За счет налога на имущество организаций обеспечено 11,1% общего объема налоговых и неналоговых доходов </w:t>
      </w:r>
      <w:r w:rsidR="00163854" w:rsidRPr="00C6629D">
        <w:rPr>
          <w:szCs w:val="28"/>
        </w:rPr>
        <w:t>областного</w:t>
      </w:r>
      <w:r w:rsidRPr="00C6629D">
        <w:rPr>
          <w:szCs w:val="28"/>
        </w:rPr>
        <w:t xml:space="preserve"> бюджета. Поступления по налогу сократились </w:t>
      </w:r>
      <w:r w:rsidR="00323D1B" w:rsidRPr="00C6629D">
        <w:rPr>
          <w:szCs w:val="28"/>
        </w:rPr>
        <w:t xml:space="preserve">по сравнению с 2019 годом </w:t>
      </w:r>
      <w:r w:rsidRPr="00C6629D">
        <w:rPr>
          <w:szCs w:val="28"/>
        </w:rPr>
        <w:t xml:space="preserve">на 1265223,5 тыс. рублей, или на 14,4%. </w:t>
      </w:r>
      <w:r w:rsidR="00FA6B52" w:rsidRPr="00C6629D">
        <w:rPr>
          <w:szCs w:val="28"/>
        </w:rPr>
        <w:t>Дополнительным</w:t>
      </w:r>
      <w:r w:rsidRPr="00C6629D">
        <w:rPr>
          <w:szCs w:val="28"/>
        </w:rPr>
        <w:t xml:space="preserve"> фактором, повлиявшим на снижение поступлений по налогу, явил</w:t>
      </w:r>
      <w:r w:rsidR="00FA6B52" w:rsidRPr="00C6629D">
        <w:rPr>
          <w:szCs w:val="28"/>
        </w:rPr>
        <w:t>о</w:t>
      </w:r>
      <w:r w:rsidRPr="00C6629D">
        <w:rPr>
          <w:szCs w:val="28"/>
        </w:rPr>
        <w:t>сь исключение с 1 января 2019 года движимого имущества из объектов налогообложения.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proofErr w:type="gramStart"/>
      <w:r w:rsidRPr="00C6629D">
        <w:rPr>
          <w:spacing w:val="-2"/>
          <w:szCs w:val="28"/>
        </w:rPr>
        <w:t>Объем доходов от акцизов</w:t>
      </w:r>
      <w:r w:rsidR="00B576AA" w:rsidRPr="00C6629D">
        <w:rPr>
          <w:spacing w:val="-2"/>
          <w:szCs w:val="28"/>
        </w:rPr>
        <w:t xml:space="preserve"> в 2020 году</w:t>
      </w:r>
      <w:r w:rsidRPr="00C6629D">
        <w:rPr>
          <w:spacing w:val="-2"/>
          <w:szCs w:val="28"/>
        </w:rPr>
        <w:t xml:space="preserve"> составил 8423187,4 тыс. рублей с ростом к 2019 году на 15,7%, в том числе</w:t>
      </w:r>
      <w:r w:rsidR="00B576AA" w:rsidRPr="00C6629D">
        <w:rPr>
          <w:spacing w:val="-2"/>
          <w:szCs w:val="28"/>
        </w:rPr>
        <w:t>:</w:t>
      </w:r>
      <w:r w:rsidRPr="00C6629D">
        <w:rPr>
          <w:spacing w:val="-2"/>
          <w:szCs w:val="28"/>
        </w:rPr>
        <w:t xml:space="preserve"> акцизы на алкоголь остались практически на уровне 2019 года, с незначительным ростом на 0,1%, акцизы на не</w:t>
      </w:r>
      <w:r w:rsidR="00B576AA" w:rsidRPr="00C6629D">
        <w:rPr>
          <w:spacing w:val="-2"/>
          <w:szCs w:val="28"/>
        </w:rPr>
        <w:t>фтепродукты – возросли на 21,0%</w:t>
      </w:r>
      <w:r w:rsidRPr="00C6629D">
        <w:rPr>
          <w:spacing w:val="-2"/>
          <w:szCs w:val="28"/>
        </w:rPr>
        <w:t xml:space="preserve"> </w:t>
      </w:r>
      <w:r w:rsidR="00B576AA" w:rsidRPr="00C6629D">
        <w:rPr>
          <w:spacing w:val="-2"/>
          <w:szCs w:val="28"/>
        </w:rPr>
        <w:t>(</w:t>
      </w:r>
      <w:r w:rsidRPr="00C6629D">
        <w:rPr>
          <w:spacing w:val="-2"/>
          <w:szCs w:val="28"/>
        </w:rPr>
        <w:t xml:space="preserve">здесь сказалось увеличение норматива по данному виду подакцизной продукции в консолидированные бюджеты субъектов Российской Федерации с 58,1% в </w:t>
      </w:r>
      <w:r w:rsidR="00B576AA" w:rsidRPr="00C6629D">
        <w:rPr>
          <w:spacing w:val="-2"/>
          <w:szCs w:val="28"/>
        </w:rPr>
        <w:t>2019</w:t>
      </w:r>
      <w:proofErr w:type="gramEnd"/>
      <w:r w:rsidR="00B576AA" w:rsidRPr="00C6629D">
        <w:rPr>
          <w:spacing w:val="-2"/>
          <w:szCs w:val="28"/>
        </w:rPr>
        <w:t xml:space="preserve"> году до 66,6% в 2020 году </w:t>
      </w:r>
      <w:r w:rsidRPr="00C6629D">
        <w:rPr>
          <w:spacing w:val="-2"/>
          <w:szCs w:val="28"/>
        </w:rPr>
        <w:t>в соответствии с Федеральным законом от 30 ноября 2016 года № 409-ФЗ</w:t>
      </w:r>
      <w:r w:rsidRPr="00C6629D">
        <w:rPr>
          <w:szCs w:val="28"/>
        </w:rPr>
        <w:t>).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lastRenderedPageBreak/>
        <w:t>Объем налога, взимаемого в связи с применением упрощенной системы налогообложения, за 2020 год составил 4576805,6 тыс. рублей, с увеличением относительно 2019 года на 92730,9 тыс. рублей, или на 2,1%.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Объем транспортного налога увеличился на 246643,1 тыс. рублей, или на 9,9%, составив по итогам отчетного года 2751353,5 тыс. рублей, вклад налога в объем налоговым и иных обязательных платежей составил 4,1% (по итогам 2019 года – 3,7%).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Поступление налога на добычу полезных ископаемых в 2020 году возросло против уровня 2019 года на 2224,7 тыс. рублей, или на 3,6%.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Объем неналоговых доходов областного бюджета составил за 2020 год 1346389,8 тыс. рублей, со снижением к факту за 2019 год на 88537,8 тыс. рублей, или на 6,2%.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С положительной динамикой к 2019 году сложилось поступление доходов от использования имущества, находящегося в государственной собственности, которые увеличились на 13362,5 тыс. рублей, на 35,7%.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С отрицательной динамикой в 2020 году сложилось поступление платежей при пользовании природными недрами, снижение в целом по данной подгруппе неналоговых доходов – на 9,1%. В том числе доходы от платы за негативное воздействие на окружающую среду сократились на 4,7%, платежи при пользовании недрами – на 16,0%, плата за использование лесов – на 37,2%.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Доходы от штрафов, санкций, возмещения ущерба сократились на 29689,3 тыс. рублей, на 3,0%, При этом структурная доля штрафов в объеме неналоговых доходов увеличилась с 68,1% в 2019 году до 70,4% в 2020 году.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Безвозмездные поступления в областной бюджет сложились в сумме 60558543,3 тыс. рублей с увеличением к уровню предшествующего года на 25214471,3 тыс. рублей или в 1,7 раза.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proofErr w:type="gramStart"/>
      <w:r w:rsidRPr="00C6629D">
        <w:rPr>
          <w:spacing w:val="-7"/>
          <w:szCs w:val="28"/>
        </w:rPr>
        <w:t xml:space="preserve">Из федерального бюджета поступило 58173343,8 тыс. рублей, бюджета </w:t>
      </w:r>
      <w:r w:rsidR="00C6629D">
        <w:rPr>
          <w:spacing w:val="-7"/>
          <w:szCs w:val="28"/>
        </w:rPr>
        <w:br/>
      </w:r>
      <w:r w:rsidRPr="00C6629D">
        <w:rPr>
          <w:spacing w:val="-7"/>
          <w:szCs w:val="28"/>
        </w:rPr>
        <w:t>г. Москвы – 1429200,0 тыс. рублей, бюджета Пенсионного фонда Российской Федерации – 158,3 тыс. рублей, Государственной корпорации – Фонда содействия реформированию жилищно-коммунального хозяйства – 875769,5 тыс. рублей</w:t>
      </w:r>
      <w:r w:rsidRPr="00C6629D">
        <w:rPr>
          <w:szCs w:val="28"/>
        </w:rPr>
        <w:t>.</w:t>
      </w:r>
      <w:proofErr w:type="gramEnd"/>
    </w:p>
    <w:p w:rsidR="00CB05D9" w:rsidRPr="00C6629D" w:rsidRDefault="00CB05D9" w:rsidP="00C6629D">
      <w:pPr>
        <w:ind w:firstLine="697"/>
        <w:jc w:val="both"/>
        <w:rPr>
          <w:szCs w:val="28"/>
        </w:rPr>
      </w:pPr>
      <w:proofErr w:type="gramStart"/>
      <w:r w:rsidRPr="00C6629D">
        <w:rPr>
          <w:szCs w:val="28"/>
        </w:rPr>
        <w:t>Доходы от возврата в областной бюджет остатков субсидий, субвенций и иных межбюджетных трансфертов, имеющих целевое назначение, прошлых лет составили 166553,5 тыс. рублей, в федеральный бюджет возвращены остатки субсидий, субвенций и иных межбюджетных трансфертов, имеющих целевое назначение, не использованные на 1 января 2020 года (с учетом «возврата возвратов»), в сумме 86481,8 тыс. рублей.</w:t>
      </w:r>
      <w:proofErr w:type="gramEnd"/>
    </w:p>
    <w:p w:rsidR="00CB05D9" w:rsidRPr="00C6629D" w:rsidRDefault="00CB05D9" w:rsidP="00C6629D">
      <w:pPr>
        <w:ind w:firstLine="697"/>
        <w:jc w:val="both"/>
        <w:rPr>
          <w:spacing w:val="-4"/>
          <w:szCs w:val="28"/>
        </w:rPr>
      </w:pPr>
      <w:r w:rsidRPr="00C6629D">
        <w:rPr>
          <w:szCs w:val="28"/>
        </w:rPr>
        <w:t>Объем кассовых расходов областно</w:t>
      </w:r>
      <w:r w:rsidR="004F110F" w:rsidRPr="00C6629D">
        <w:rPr>
          <w:szCs w:val="28"/>
        </w:rPr>
        <w:t>го бюджета составил 132414011,3</w:t>
      </w:r>
      <w:r w:rsidR="00C6629D" w:rsidRPr="00C6629D">
        <w:rPr>
          <w:szCs w:val="28"/>
        </w:rPr>
        <w:t xml:space="preserve"> </w:t>
      </w:r>
      <w:r w:rsidRPr="00C6629D">
        <w:rPr>
          <w:szCs w:val="28"/>
        </w:rPr>
        <w:t>тыс. рублей (97,2% от утвержденных годовых бюджетных назначений) с ростом к факту 2019 года на 28289456,5 тыс. рублей или на 27,2%</w:t>
      </w:r>
      <w:r w:rsidRPr="00C6629D">
        <w:rPr>
          <w:spacing w:val="-4"/>
          <w:szCs w:val="28"/>
        </w:rPr>
        <w:t xml:space="preserve">. </w:t>
      </w:r>
    </w:p>
    <w:p w:rsidR="00CB05D9" w:rsidRPr="00C6629D" w:rsidRDefault="00CB05D9" w:rsidP="00C6629D">
      <w:pPr>
        <w:pStyle w:val="ConsPlusNormal"/>
        <w:ind w:firstLine="69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6629D">
        <w:rPr>
          <w:rFonts w:ascii="Times New Roman" w:hAnsi="Times New Roman" w:cs="Times New Roman"/>
          <w:snapToGrid w:val="0"/>
          <w:spacing w:val="-8"/>
          <w:sz w:val="28"/>
          <w:szCs w:val="28"/>
        </w:rPr>
        <w:t>На исполнение публичных нормативных обязательств в 2020 году направлено 15754370,8 тыс. рублей (99,0 % от утвержденных годовых бюджетных назначений). По состоянию на 1 января 2021 года просроченной кредиторской задолженности по публичным нормативным обязательствам не имеется</w:t>
      </w:r>
      <w:r w:rsidRPr="00C6629D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lastRenderedPageBreak/>
        <w:t>Исполнение по расходным обязательствам областного бюджета, финансовое обеспечение которых осуществлялось за счет целевых средств, составило 44081357,3 тыс. рублей или 33,3% общих расходов.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Единая субвенция израсходована в 2020 году в общей сумме 221198,7 тыс. рублей (101,7% к уровню 2019 года).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proofErr w:type="gramStart"/>
      <w:r w:rsidRPr="00C6629D">
        <w:rPr>
          <w:szCs w:val="28"/>
        </w:rPr>
        <w:t xml:space="preserve">Расходы на содержание органов государственной власти области и иных государственных органов (без учета расходов на исполнение переданных полномочий Российской Федерации) за 2020 год исполнены в сумме 1970243,7 тыс. рублей или 2,6% от доходов консолидированного бюджета области, учитываемых для расчета норматива, при нормативе 3,3%, утвержденном распоряжением Правительства Российской Федерации от </w:t>
      </w:r>
      <w:r w:rsidR="00C6629D">
        <w:rPr>
          <w:szCs w:val="28"/>
        </w:rPr>
        <w:br/>
      </w:r>
      <w:r w:rsidRPr="00C6629D">
        <w:rPr>
          <w:szCs w:val="28"/>
        </w:rPr>
        <w:t>12 декабря 2019 года № 3013-р.</w:t>
      </w:r>
      <w:proofErr w:type="gramEnd"/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Расходы на исполнение переданных полномочий Российской Федерации за счет средств федерального бюджета (в части содержания органов государственной власти области) составили 265036,6 тыс. рублей.</w:t>
      </w:r>
    </w:p>
    <w:p w:rsidR="00CB05D9" w:rsidRPr="00C6629D" w:rsidRDefault="00CB05D9" w:rsidP="00C6629D">
      <w:pPr>
        <w:ind w:firstLine="697"/>
        <w:jc w:val="both"/>
        <w:rPr>
          <w:color w:val="FF0000"/>
          <w:szCs w:val="28"/>
        </w:rPr>
      </w:pPr>
      <w:proofErr w:type="gramStart"/>
      <w:r w:rsidRPr="00C6629D">
        <w:rPr>
          <w:szCs w:val="28"/>
        </w:rPr>
        <w:t>Межбюджетные трансферты местным бюджетам перечислены в общей сумме 40778430,9 тыс. рублей (97,7% от утвержденных годовых бюджетных назначений), в том числе за счет соответствующих межбюджетных трансфертов из федерального бюджета – 7070134,8 тыс. рублей, за счет поступлений от государственной корпорации – Фонда содействия реформированию жилищно-коммунального хозяйства – 873801,4 тыс. рублей и бюджета г. Москвы – 815972,2 тыс. рублей.</w:t>
      </w:r>
      <w:proofErr w:type="gramEnd"/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В 2020 году межбюджетные трансферты из областного бюджета предоставлялись в следующих формах: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субвенции – 20651783,2 тыс. рублей (50,6% общего объема межбюджетных трансфертов);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субсидии – 10645435,2 тыс. рублей (26,1% общего объема межбюджетных трансфертов);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иные межбюджетные трансферты – 5295777,5 тыс. рублей (13,0% от общего объема межбюджетных трансфертов);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дотации – 4185435,0 тыс. рублей (10,3% от общего объема межбюджетных трансфертов).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Значительную долю в объеме межбюджетных трансфертов местным бюджетам составляют: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финансовое обеспечение образовательной деятельности муниципальных общеобразовательных учреждений – 13106641,0 тыс. рублей (32,1% от общего объема межбюджетных трансфертов);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финансовое обеспечение образовательной деятельности муниципальных дошкольных образовательных организаций – 5123277,7 тыс. рублей (12,6% от общего объема межбюджетных трансфертов);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дотации на выравнивание бюджетной обеспеченности муниципальных районов (городских округов) области – 3411010,7 тыс. рублей (8,4% от общего объема межбюджетных трансфертов);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pacing w:val="-4"/>
          <w:szCs w:val="28"/>
        </w:rPr>
        <w:lastRenderedPageBreak/>
        <w:t>финансовое обеспечение дорожной деятельности в рамках реализации национального проекта «Безопасные и качественные автомобильные дороги» – 1517006,2 тыс. рублей (3,7% от общего объема межбюджетных трансфертов</w:t>
      </w:r>
      <w:r w:rsidRPr="00C6629D">
        <w:rPr>
          <w:szCs w:val="28"/>
        </w:rPr>
        <w:t>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 – 1204111,2 ты</w:t>
      </w:r>
      <w:bookmarkStart w:id="0" w:name="_GoBack"/>
      <w:bookmarkEnd w:id="0"/>
      <w:r w:rsidRPr="00C6629D">
        <w:rPr>
          <w:szCs w:val="28"/>
        </w:rPr>
        <w:t>с. рублей (3,0% от общего объема межбюджетных трансфертов);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обеспечение </w:t>
      </w:r>
      <w:proofErr w:type="gramStart"/>
      <w:r w:rsidRPr="00C6629D">
        <w:rPr>
          <w:szCs w:val="28"/>
        </w:rPr>
        <w:t>сохранения достигнутых показателей повышения оплаты труда отдельных категорий работников бюджетной</w:t>
      </w:r>
      <w:proofErr w:type="gramEnd"/>
      <w:r w:rsidRPr="00C6629D">
        <w:rPr>
          <w:szCs w:val="28"/>
        </w:rPr>
        <w:t xml:space="preserve"> сферы – 901571,9 тыс. рублей (2,2% от общего объема межбюджетных трансфертов).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За счет бюджетных ассигнований областного дорожного фонда израсходовано 12600347,6 тыс. рублей (95,2% годовых бюджетных назначений), что на 78426,0 тыс. рублей меньше, чем в 2019 году. </w:t>
      </w:r>
    </w:p>
    <w:p w:rsidR="00CB05D9" w:rsidRPr="00C6629D" w:rsidRDefault="00CB05D9" w:rsidP="00C6629D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C6629D">
        <w:rPr>
          <w:szCs w:val="28"/>
        </w:rPr>
        <w:t>Расходы на реализацию государственных программ Саратовской области</w:t>
      </w:r>
      <w:r w:rsidRPr="00C6629D">
        <w:rPr>
          <w:b/>
          <w:szCs w:val="28"/>
        </w:rPr>
        <w:t xml:space="preserve"> </w:t>
      </w:r>
      <w:r w:rsidRPr="00C6629D">
        <w:rPr>
          <w:szCs w:val="28"/>
        </w:rPr>
        <w:t>составили в 2020 году 127179437,2 тыс. рублей (97,4% годовых бюджетных назначений) или 96,1% от общих расходов областного бюджета.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pacing w:val="-4"/>
          <w:szCs w:val="28"/>
        </w:rPr>
        <w:t>По итогам 2020 года областной бюджет исполнен с дефицитом в размере 4050848,5 тыс. рублей при плановом дефиците 7343601,1 тыс. рублей</w:t>
      </w:r>
      <w:r w:rsidRPr="00C6629D">
        <w:rPr>
          <w:szCs w:val="28"/>
        </w:rPr>
        <w:t xml:space="preserve">. </w:t>
      </w:r>
    </w:p>
    <w:p w:rsidR="00CB05D9" w:rsidRPr="00C6629D" w:rsidRDefault="00CB05D9" w:rsidP="00C6629D">
      <w:pPr>
        <w:ind w:firstLine="697"/>
        <w:jc w:val="both"/>
        <w:rPr>
          <w:szCs w:val="28"/>
        </w:rPr>
      </w:pPr>
      <w:r w:rsidRPr="00C6629D">
        <w:rPr>
          <w:szCs w:val="28"/>
        </w:rPr>
        <w:t xml:space="preserve">Остатки средств на едином счете областного бюджета по состоянию на </w:t>
      </w:r>
      <w:r w:rsidRPr="00C6629D">
        <w:rPr>
          <w:szCs w:val="28"/>
        </w:rPr>
        <w:br/>
        <w:t xml:space="preserve">1 января 2021 года составили 3362480,4 тыс. рублей, из них остатки, имеющие целевое назначение – 141380,6 тыс. рублей.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 xml:space="preserve">По состоянию на 1 января 2021 года размер государственного долга области сложился в размере 51620832,6 тыс. рублей, в том числе: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>по государственным ценным бумагам – 5000000,0 тыс. рублей или 9,7% от общего объема долга;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 xml:space="preserve">по банковским кредитам – 16767178,9 </w:t>
      </w:r>
      <w:r w:rsidR="005827A4" w:rsidRPr="00C6629D">
        <w:rPr>
          <w:szCs w:val="28"/>
        </w:rPr>
        <w:t>тыс</w:t>
      </w:r>
      <w:r w:rsidR="004F110F" w:rsidRPr="00C6629D">
        <w:rPr>
          <w:szCs w:val="28"/>
        </w:rPr>
        <w:t>.</w:t>
      </w:r>
      <w:r w:rsidRPr="00C6629D">
        <w:rPr>
          <w:szCs w:val="28"/>
        </w:rPr>
        <w:t xml:space="preserve"> рублей или 32,5% от общего объема долга;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>по бюджетным кредитам из федерального бюджета – 29853653,7 тыс. рублей или 57,8% от общего объема долга.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>Объем государственного долга области увеличился с начала 2020 года на 5080000,0 тыс. рублей и составил 76,1% к фактическому поступлению налоговых и неналоговых доходов областного бюджета за 2020 год.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>Расходы на обслуживание государственного долга составили за 2020 год 1564645,6 тыс. рублей.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>Привлечение и погашение кредитов от кредитных организаций за 2020 год составило в сумме 13677106,5 тыс. рублей.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 xml:space="preserve">Привлечение и погашение бюджетных кредитов на пополнение остатков средств на счетах бюджетов субъектов Российской Федерации в 2020 году осуществлялось в сумме 5080000,0 тыс. рублей.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  <w:lang w:eastAsia="en-US"/>
        </w:rPr>
      </w:pPr>
      <w:r w:rsidRPr="00C6629D">
        <w:rPr>
          <w:szCs w:val="28"/>
          <w:lang w:eastAsia="en-US"/>
        </w:rPr>
        <w:t>По состоянию на 1 января 2021 года в состав задолженности перед федеральным бюджетом по бюджетным кредитам входит: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  <w:lang w:eastAsia="en-US"/>
        </w:rPr>
      </w:pPr>
      <w:r w:rsidRPr="00C6629D">
        <w:rPr>
          <w:spacing w:val="-7"/>
          <w:szCs w:val="28"/>
          <w:lang w:eastAsia="en-US"/>
        </w:rPr>
        <w:t>реструктурированная задолженность по бюджетным кредитам, предоставленным на строительство, реконструкцию, капитальный ремонт, ремонт и содержание автомобильных дорог общего пользования (за исключением автомобильных дорог федерального значения) – 2245313,8 тыс. рублей</w:t>
      </w:r>
      <w:r w:rsidRPr="00C6629D">
        <w:rPr>
          <w:szCs w:val="28"/>
          <w:lang w:eastAsia="en-US"/>
        </w:rPr>
        <w:t>;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  <w:lang w:eastAsia="en-US"/>
        </w:rPr>
      </w:pPr>
      <w:r w:rsidRPr="00C6629D">
        <w:rPr>
          <w:szCs w:val="28"/>
          <w:lang w:eastAsia="en-US"/>
        </w:rPr>
        <w:lastRenderedPageBreak/>
        <w:t>реструктурированная задолженность по бюджетным кредитам, предоставленным для частичного покрыти</w:t>
      </w:r>
      <w:r w:rsidR="004F110F" w:rsidRPr="00C6629D">
        <w:rPr>
          <w:szCs w:val="28"/>
          <w:lang w:eastAsia="en-US"/>
        </w:rPr>
        <w:t>я дефицита бюджета – 22528339,9 </w:t>
      </w:r>
      <w:r w:rsidRPr="00C6629D">
        <w:rPr>
          <w:szCs w:val="28"/>
          <w:lang w:eastAsia="en-US"/>
        </w:rPr>
        <w:t>тыс. рублей;</w:t>
      </w:r>
      <w:r w:rsidR="00C6629D">
        <w:rPr>
          <w:szCs w:val="28"/>
          <w:lang w:eastAsia="en-US"/>
        </w:rPr>
        <w:t xml:space="preserve">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  <w:lang w:eastAsia="en-US"/>
        </w:rPr>
      </w:pPr>
      <w:r w:rsidRPr="00C6629D">
        <w:rPr>
          <w:szCs w:val="28"/>
          <w:lang w:eastAsia="en-US"/>
        </w:rPr>
        <w:t>задолженность по бюджетным кредитам, предоставленным для погашения бюджетных кредитов на пополнение остатков средств на счетах бюджетов субъектов Российской Федерации – 5080000,0 тыс. рублей.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  <w:lang w:eastAsia="en-US"/>
        </w:rPr>
      </w:pPr>
      <w:r w:rsidRPr="00C6629D">
        <w:rPr>
          <w:szCs w:val="28"/>
          <w:lang w:eastAsia="en-US"/>
        </w:rPr>
        <w:t>В течение 2020 года из областного бюджета местным бюджетам бюджетные кредиты не предоставлялись.</w:t>
      </w:r>
      <w:r w:rsidR="00C6629D">
        <w:rPr>
          <w:szCs w:val="28"/>
          <w:lang w:eastAsia="en-US"/>
        </w:rPr>
        <w:t xml:space="preserve">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  <w:lang w:eastAsia="en-US"/>
        </w:rPr>
      </w:pPr>
      <w:r w:rsidRPr="00C6629D">
        <w:rPr>
          <w:szCs w:val="28"/>
          <w:lang w:eastAsia="en-US"/>
        </w:rPr>
        <w:t>В 2020 году муниципальными образованиями осуществлен возврат в областной бюджет бюджетных кредитов, предоставленных для частичного покрытия дефицитов бюджетов, в сумме 255187,3 тыс. рублей. Просроченных долговых обязательств муниципальных образований перед областным бюджетом не имеется.</w:t>
      </w:r>
      <w:r w:rsidR="00C6629D">
        <w:rPr>
          <w:szCs w:val="28"/>
          <w:lang w:eastAsia="en-US"/>
        </w:rPr>
        <w:t xml:space="preserve"> 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C6629D">
        <w:rPr>
          <w:szCs w:val="28"/>
        </w:rPr>
        <w:t>Параметры государственного долга области и расходов на его обслуживание за 2020 год соответствуют ограничениям, установленным Бюджетным кодексом Российской Федерации.</w:t>
      </w:r>
    </w:p>
    <w:p w:rsidR="00146133" w:rsidRPr="00C6629D" w:rsidRDefault="00146133" w:rsidP="00C6629D">
      <w:pPr>
        <w:ind w:firstLine="697"/>
        <w:jc w:val="both"/>
        <w:rPr>
          <w:szCs w:val="28"/>
        </w:rPr>
      </w:pPr>
    </w:p>
    <w:p w:rsidR="00431AE8" w:rsidRPr="00C6629D" w:rsidRDefault="00431AE8" w:rsidP="00C6629D">
      <w:pPr>
        <w:ind w:firstLine="697"/>
        <w:jc w:val="both"/>
        <w:rPr>
          <w:color w:val="000000" w:themeColor="text1"/>
          <w:szCs w:val="28"/>
          <w:highlight w:val="yellow"/>
        </w:rPr>
      </w:pPr>
    </w:p>
    <w:p w:rsidR="004F110F" w:rsidRPr="00C6629D" w:rsidRDefault="004F110F" w:rsidP="00C6629D">
      <w:pPr>
        <w:ind w:firstLine="697"/>
        <w:jc w:val="both"/>
        <w:rPr>
          <w:color w:val="000000" w:themeColor="text1"/>
          <w:szCs w:val="28"/>
          <w:highlight w:val="yellow"/>
        </w:rPr>
      </w:pPr>
    </w:p>
    <w:p w:rsidR="004F110F" w:rsidRPr="00C6629D" w:rsidRDefault="00CB05D9" w:rsidP="00C6629D">
      <w:pPr>
        <w:rPr>
          <w:b/>
          <w:szCs w:val="28"/>
        </w:rPr>
      </w:pPr>
      <w:r w:rsidRPr="00C6629D">
        <w:rPr>
          <w:b/>
          <w:szCs w:val="28"/>
        </w:rPr>
        <w:t>М</w:t>
      </w:r>
      <w:r w:rsidR="00994B6F" w:rsidRPr="00C6629D">
        <w:rPr>
          <w:b/>
          <w:szCs w:val="28"/>
        </w:rPr>
        <w:t xml:space="preserve">инистр финансов </w:t>
      </w:r>
    </w:p>
    <w:p w:rsidR="00FA74F6" w:rsidRPr="00C6629D" w:rsidRDefault="00994B6F" w:rsidP="00C6629D">
      <w:pPr>
        <w:rPr>
          <w:b/>
          <w:szCs w:val="28"/>
        </w:rPr>
      </w:pPr>
      <w:r w:rsidRPr="00C6629D">
        <w:rPr>
          <w:b/>
          <w:szCs w:val="28"/>
        </w:rPr>
        <w:t>Саратовской области</w:t>
      </w:r>
      <w:r w:rsidR="00B732EC" w:rsidRPr="00C6629D">
        <w:rPr>
          <w:b/>
          <w:szCs w:val="28"/>
        </w:rPr>
        <w:tab/>
      </w:r>
      <w:r w:rsidR="005F76BE" w:rsidRPr="00C6629D">
        <w:rPr>
          <w:b/>
          <w:szCs w:val="28"/>
        </w:rPr>
        <w:t xml:space="preserve">           </w:t>
      </w:r>
      <w:r w:rsidR="00B732EC" w:rsidRPr="00C6629D">
        <w:rPr>
          <w:b/>
          <w:szCs w:val="28"/>
        </w:rPr>
        <w:t xml:space="preserve">  </w:t>
      </w:r>
      <w:r w:rsidR="005F76BE" w:rsidRPr="00C6629D">
        <w:rPr>
          <w:b/>
          <w:szCs w:val="28"/>
        </w:rPr>
        <w:t xml:space="preserve">  </w:t>
      </w:r>
      <w:r w:rsidRPr="00C6629D">
        <w:rPr>
          <w:b/>
          <w:szCs w:val="28"/>
        </w:rPr>
        <w:t xml:space="preserve">         </w:t>
      </w:r>
      <w:r w:rsidR="00C37C5B" w:rsidRPr="00C6629D">
        <w:rPr>
          <w:b/>
          <w:szCs w:val="28"/>
        </w:rPr>
        <w:t xml:space="preserve"> </w:t>
      </w:r>
      <w:r w:rsidR="004F110F" w:rsidRPr="00C6629D">
        <w:rPr>
          <w:b/>
          <w:szCs w:val="28"/>
        </w:rPr>
        <w:t xml:space="preserve">                                           </w:t>
      </w:r>
      <w:r w:rsidR="00C37C5B" w:rsidRPr="00C6629D">
        <w:rPr>
          <w:b/>
          <w:szCs w:val="28"/>
        </w:rPr>
        <w:t xml:space="preserve">    </w:t>
      </w:r>
      <w:r w:rsidRPr="00C6629D">
        <w:rPr>
          <w:b/>
          <w:szCs w:val="28"/>
        </w:rPr>
        <w:t>В</w:t>
      </w:r>
      <w:r w:rsidR="00B732EC" w:rsidRPr="00C6629D">
        <w:rPr>
          <w:b/>
          <w:szCs w:val="28"/>
        </w:rPr>
        <w:t>.</w:t>
      </w:r>
      <w:r w:rsidRPr="00C6629D">
        <w:rPr>
          <w:b/>
          <w:szCs w:val="28"/>
        </w:rPr>
        <w:t>Г</w:t>
      </w:r>
      <w:r w:rsidR="00B732EC" w:rsidRPr="00C6629D">
        <w:rPr>
          <w:b/>
          <w:szCs w:val="28"/>
        </w:rPr>
        <w:t>.</w:t>
      </w:r>
      <w:r w:rsidR="008737AC" w:rsidRPr="00C6629D">
        <w:rPr>
          <w:b/>
          <w:szCs w:val="28"/>
        </w:rPr>
        <w:t xml:space="preserve"> </w:t>
      </w:r>
      <w:r w:rsidRPr="00C6629D">
        <w:rPr>
          <w:b/>
          <w:szCs w:val="28"/>
        </w:rPr>
        <w:t>Ойкин</w:t>
      </w:r>
    </w:p>
    <w:sectPr w:rsidR="00FA74F6" w:rsidRPr="00C6629D" w:rsidSect="004F110F">
      <w:headerReference w:type="even" r:id="rId8"/>
      <w:headerReference w:type="default" r:id="rId9"/>
      <w:pgSz w:w="11906" w:h="16838" w:code="9"/>
      <w:pgMar w:top="1134" w:right="851" w:bottom="1134" w:left="1701" w:header="39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6C" w:rsidRDefault="00FE0A6C">
      <w:r>
        <w:separator/>
      </w:r>
    </w:p>
  </w:endnote>
  <w:endnote w:type="continuationSeparator" w:id="0">
    <w:p w:rsidR="00FE0A6C" w:rsidRDefault="00FE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6C" w:rsidRDefault="00FE0A6C">
      <w:r>
        <w:separator/>
      </w:r>
    </w:p>
  </w:footnote>
  <w:footnote w:type="continuationSeparator" w:id="0">
    <w:p w:rsidR="00FE0A6C" w:rsidRDefault="00FE0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C6629D">
      <w:rPr>
        <w:rStyle w:val="a5"/>
        <w:noProof/>
        <w:sz w:val="27"/>
        <w:szCs w:val="27"/>
      </w:rPr>
      <w:t>5</w:t>
    </w:r>
    <w:r w:rsidRPr="00917EC8">
      <w:rPr>
        <w:rStyle w:val="a5"/>
        <w:sz w:val="27"/>
        <w:szCs w:val="27"/>
      </w:rPr>
      <w:fldChar w:fldCharType="end"/>
    </w:r>
  </w:p>
  <w:p w:rsidR="00431AE8" w:rsidRDefault="00431AE8" w:rsidP="00C66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544C"/>
    <w:rsid w:val="000062EF"/>
    <w:rsid w:val="00006E98"/>
    <w:rsid w:val="00007C81"/>
    <w:rsid w:val="000100BC"/>
    <w:rsid w:val="00012BAC"/>
    <w:rsid w:val="00014055"/>
    <w:rsid w:val="00014C48"/>
    <w:rsid w:val="0001565A"/>
    <w:rsid w:val="00020FF2"/>
    <w:rsid w:val="00030FBB"/>
    <w:rsid w:val="00032311"/>
    <w:rsid w:val="000334EC"/>
    <w:rsid w:val="000336D7"/>
    <w:rsid w:val="00037351"/>
    <w:rsid w:val="0004453D"/>
    <w:rsid w:val="00044CF8"/>
    <w:rsid w:val="000457FA"/>
    <w:rsid w:val="00050244"/>
    <w:rsid w:val="000504EF"/>
    <w:rsid w:val="00052208"/>
    <w:rsid w:val="00057EA0"/>
    <w:rsid w:val="0006396C"/>
    <w:rsid w:val="0008129E"/>
    <w:rsid w:val="000834A0"/>
    <w:rsid w:val="00090EB2"/>
    <w:rsid w:val="000912D9"/>
    <w:rsid w:val="00093DCB"/>
    <w:rsid w:val="00094528"/>
    <w:rsid w:val="0009626B"/>
    <w:rsid w:val="000963C4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0389"/>
    <w:rsid w:val="00131AC7"/>
    <w:rsid w:val="00131C62"/>
    <w:rsid w:val="001338EA"/>
    <w:rsid w:val="00133D80"/>
    <w:rsid w:val="00142BFA"/>
    <w:rsid w:val="00143465"/>
    <w:rsid w:val="0014483C"/>
    <w:rsid w:val="00145EBD"/>
    <w:rsid w:val="00146133"/>
    <w:rsid w:val="00146B58"/>
    <w:rsid w:val="0015193C"/>
    <w:rsid w:val="00161822"/>
    <w:rsid w:val="00163854"/>
    <w:rsid w:val="001710B0"/>
    <w:rsid w:val="00173385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450C"/>
    <w:rsid w:val="001B4739"/>
    <w:rsid w:val="001B483A"/>
    <w:rsid w:val="001B68D5"/>
    <w:rsid w:val="001C36B1"/>
    <w:rsid w:val="001C4038"/>
    <w:rsid w:val="001D095A"/>
    <w:rsid w:val="001E0DFD"/>
    <w:rsid w:val="001E0E23"/>
    <w:rsid w:val="001E382B"/>
    <w:rsid w:val="001E6AD3"/>
    <w:rsid w:val="001E7007"/>
    <w:rsid w:val="001F0791"/>
    <w:rsid w:val="001F20D4"/>
    <w:rsid w:val="001F7CBC"/>
    <w:rsid w:val="002053DE"/>
    <w:rsid w:val="00206BD8"/>
    <w:rsid w:val="00210295"/>
    <w:rsid w:val="00211CDC"/>
    <w:rsid w:val="00212716"/>
    <w:rsid w:val="00213749"/>
    <w:rsid w:val="00214B8A"/>
    <w:rsid w:val="00216609"/>
    <w:rsid w:val="00217D0F"/>
    <w:rsid w:val="00221AB7"/>
    <w:rsid w:val="00222B8B"/>
    <w:rsid w:val="002250C2"/>
    <w:rsid w:val="002251EA"/>
    <w:rsid w:val="0022697D"/>
    <w:rsid w:val="0022734D"/>
    <w:rsid w:val="00231FA3"/>
    <w:rsid w:val="00232A60"/>
    <w:rsid w:val="00236FA9"/>
    <w:rsid w:val="00237CB8"/>
    <w:rsid w:val="0024133F"/>
    <w:rsid w:val="002508EC"/>
    <w:rsid w:val="00256A81"/>
    <w:rsid w:val="00263092"/>
    <w:rsid w:val="002631B3"/>
    <w:rsid w:val="002644F2"/>
    <w:rsid w:val="00264E97"/>
    <w:rsid w:val="00272535"/>
    <w:rsid w:val="002738E9"/>
    <w:rsid w:val="002771DB"/>
    <w:rsid w:val="00277E52"/>
    <w:rsid w:val="00282E8B"/>
    <w:rsid w:val="00285A36"/>
    <w:rsid w:val="0029681F"/>
    <w:rsid w:val="0029789B"/>
    <w:rsid w:val="002A187D"/>
    <w:rsid w:val="002A2ED2"/>
    <w:rsid w:val="002A3BB3"/>
    <w:rsid w:val="002A661D"/>
    <w:rsid w:val="002A70BF"/>
    <w:rsid w:val="002B0F53"/>
    <w:rsid w:val="002B2A3B"/>
    <w:rsid w:val="002C2051"/>
    <w:rsid w:val="002C747F"/>
    <w:rsid w:val="002D3045"/>
    <w:rsid w:val="002D56CE"/>
    <w:rsid w:val="002E14B5"/>
    <w:rsid w:val="002F0177"/>
    <w:rsid w:val="002F0510"/>
    <w:rsid w:val="002F2463"/>
    <w:rsid w:val="002F69D6"/>
    <w:rsid w:val="0030131A"/>
    <w:rsid w:val="00303963"/>
    <w:rsid w:val="00311CAF"/>
    <w:rsid w:val="00313D0B"/>
    <w:rsid w:val="00314B68"/>
    <w:rsid w:val="00314FEA"/>
    <w:rsid w:val="00316DEC"/>
    <w:rsid w:val="00316F45"/>
    <w:rsid w:val="00317072"/>
    <w:rsid w:val="00321688"/>
    <w:rsid w:val="00322E1D"/>
    <w:rsid w:val="00323D1B"/>
    <w:rsid w:val="00334915"/>
    <w:rsid w:val="00341626"/>
    <w:rsid w:val="00342E0A"/>
    <w:rsid w:val="00346323"/>
    <w:rsid w:val="00351EA7"/>
    <w:rsid w:val="00353856"/>
    <w:rsid w:val="003539F4"/>
    <w:rsid w:val="003541D1"/>
    <w:rsid w:val="00360EA0"/>
    <w:rsid w:val="0036216A"/>
    <w:rsid w:val="0036321B"/>
    <w:rsid w:val="00363629"/>
    <w:rsid w:val="003654ED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478D"/>
    <w:rsid w:val="003F4DB8"/>
    <w:rsid w:val="004013CC"/>
    <w:rsid w:val="00404A31"/>
    <w:rsid w:val="00415D19"/>
    <w:rsid w:val="00421EC5"/>
    <w:rsid w:val="00422D2A"/>
    <w:rsid w:val="00425B46"/>
    <w:rsid w:val="0042624A"/>
    <w:rsid w:val="00426A85"/>
    <w:rsid w:val="00426F88"/>
    <w:rsid w:val="00431AE8"/>
    <w:rsid w:val="00431E0E"/>
    <w:rsid w:val="00433992"/>
    <w:rsid w:val="00434F10"/>
    <w:rsid w:val="004440A7"/>
    <w:rsid w:val="00446537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AE1"/>
    <w:rsid w:val="00476B40"/>
    <w:rsid w:val="00481196"/>
    <w:rsid w:val="00483C27"/>
    <w:rsid w:val="00487B3C"/>
    <w:rsid w:val="0049094B"/>
    <w:rsid w:val="00491174"/>
    <w:rsid w:val="00492838"/>
    <w:rsid w:val="0049672C"/>
    <w:rsid w:val="004A076D"/>
    <w:rsid w:val="004A263F"/>
    <w:rsid w:val="004A6426"/>
    <w:rsid w:val="004B397D"/>
    <w:rsid w:val="004B5E9E"/>
    <w:rsid w:val="004C0578"/>
    <w:rsid w:val="004C0E93"/>
    <w:rsid w:val="004C4349"/>
    <w:rsid w:val="004C5CB9"/>
    <w:rsid w:val="004D08CF"/>
    <w:rsid w:val="004D74B6"/>
    <w:rsid w:val="004E0601"/>
    <w:rsid w:val="004E112B"/>
    <w:rsid w:val="004E409B"/>
    <w:rsid w:val="004E4856"/>
    <w:rsid w:val="004E68C5"/>
    <w:rsid w:val="004F110F"/>
    <w:rsid w:val="004F3913"/>
    <w:rsid w:val="004F527E"/>
    <w:rsid w:val="004F5FCD"/>
    <w:rsid w:val="004F774D"/>
    <w:rsid w:val="00501AE7"/>
    <w:rsid w:val="005031E7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5797"/>
    <w:rsid w:val="005579D8"/>
    <w:rsid w:val="005639CD"/>
    <w:rsid w:val="00566956"/>
    <w:rsid w:val="00570189"/>
    <w:rsid w:val="005702F6"/>
    <w:rsid w:val="00571556"/>
    <w:rsid w:val="00574CB7"/>
    <w:rsid w:val="005814DC"/>
    <w:rsid w:val="00581E69"/>
    <w:rsid w:val="005827A4"/>
    <w:rsid w:val="0058584D"/>
    <w:rsid w:val="005A028B"/>
    <w:rsid w:val="005B130E"/>
    <w:rsid w:val="005B2E9D"/>
    <w:rsid w:val="005B42DF"/>
    <w:rsid w:val="005C29C1"/>
    <w:rsid w:val="005C378F"/>
    <w:rsid w:val="005C6170"/>
    <w:rsid w:val="005C7E5E"/>
    <w:rsid w:val="005C7FCE"/>
    <w:rsid w:val="005E2BC6"/>
    <w:rsid w:val="005E34F2"/>
    <w:rsid w:val="005E5CA5"/>
    <w:rsid w:val="005F57ED"/>
    <w:rsid w:val="005F6C1B"/>
    <w:rsid w:val="005F76BE"/>
    <w:rsid w:val="0060225B"/>
    <w:rsid w:val="0060548A"/>
    <w:rsid w:val="00605E9C"/>
    <w:rsid w:val="006133A5"/>
    <w:rsid w:val="006146B1"/>
    <w:rsid w:val="00615C4E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4894"/>
    <w:rsid w:val="0065634F"/>
    <w:rsid w:val="00661A2B"/>
    <w:rsid w:val="0066482F"/>
    <w:rsid w:val="00672B39"/>
    <w:rsid w:val="006741F8"/>
    <w:rsid w:val="00681BDD"/>
    <w:rsid w:val="00681D59"/>
    <w:rsid w:val="0068325D"/>
    <w:rsid w:val="00685CF7"/>
    <w:rsid w:val="006965A8"/>
    <w:rsid w:val="006A6141"/>
    <w:rsid w:val="006B5374"/>
    <w:rsid w:val="006B5A43"/>
    <w:rsid w:val="006C35CC"/>
    <w:rsid w:val="006D1F05"/>
    <w:rsid w:val="006D23B4"/>
    <w:rsid w:val="006D707E"/>
    <w:rsid w:val="006F35D7"/>
    <w:rsid w:val="00705B15"/>
    <w:rsid w:val="00712DB8"/>
    <w:rsid w:val="00714A20"/>
    <w:rsid w:val="00716D45"/>
    <w:rsid w:val="00717EB0"/>
    <w:rsid w:val="007206D5"/>
    <w:rsid w:val="0072219F"/>
    <w:rsid w:val="007231CD"/>
    <w:rsid w:val="00726128"/>
    <w:rsid w:val="007266B2"/>
    <w:rsid w:val="007324E4"/>
    <w:rsid w:val="007327E2"/>
    <w:rsid w:val="0073339A"/>
    <w:rsid w:val="00735406"/>
    <w:rsid w:val="0073577C"/>
    <w:rsid w:val="00740A02"/>
    <w:rsid w:val="0074146A"/>
    <w:rsid w:val="00746BEB"/>
    <w:rsid w:val="00746F90"/>
    <w:rsid w:val="00754BB1"/>
    <w:rsid w:val="00755B59"/>
    <w:rsid w:val="00756FAB"/>
    <w:rsid w:val="00760D81"/>
    <w:rsid w:val="00765596"/>
    <w:rsid w:val="007706CA"/>
    <w:rsid w:val="00770998"/>
    <w:rsid w:val="0077261D"/>
    <w:rsid w:val="007732C1"/>
    <w:rsid w:val="00780DDB"/>
    <w:rsid w:val="00781D84"/>
    <w:rsid w:val="007846E6"/>
    <w:rsid w:val="00785182"/>
    <w:rsid w:val="00786761"/>
    <w:rsid w:val="007869B6"/>
    <w:rsid w:val="00790766"/>
    <w:rsid w:val="0079789E"/>
    <w:rsid w:val="00797A41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D0EFF"/>
    <w:rsid w:val="007D45C2"/>
    <w:rsid w:val="007E0E38"/>
    <w:rsid w:val="007F0025"/>
    <w:rsid w:val="007F35FA"/>
    <w:rsid w:val="007F3DF9"/>
    <w:rsid w:val="00802896"/>
    <w:rsid w:val="008047BB"/>
    <w:rsid w:val="0080598D"/>
    <w:rsid w:val="00806026"/>
    <w:rsid w:val="00812FF1"/>
    <w:rsid w:val="00813721"/>
    <w:rsid w:val="008170F1"/>
    <w:rsid w:val="00824C2A"/>
    <w:rsid w:val="00832EA2"/>
    <w:rsid w:val="008375B7"/>
    <w:rsid w:val="00840D2E"/>
    <w:rsid w:val="008425BD"/>
    <w:rsid w:val="0085014E"/>
    <w:rsid w:val="008513C7"/>
    <w:rsid w:val="00851523"/>
    <w:rsid w:val="00852E23"/>
    <w:rsid w:val="008541C7"/>
    <w:rsid w:val="00854218"/>
    <w:rsid w:val="00855BE1"/>
    <w:rsid w:val="00860C2B"/>
    <w:rsid w:val="00871AAF"/>
    <w:rsid w:val="008737AC"/>
    <w:rsid w:val="00874132"/>
    <w:rsid w:val="00877519"/>
    <w:rsid w:val="008865D2"/>
    <w:rsid w:val="00891B83"/>
    <w:rsid w:val="00892730"/>
    <w:rsid w:val="008A1217"/>
    <w:rsid w:val="008A2188"/>
    <w:rsid w:val="008A407D"/>
    <w:rsid w:val="008A5E24"/>
    <w:rsid w:val="008B5409"/>
    <w:rsid w:val="008B6AFF"/>
    <w:rsid w:val="008C6488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143C4"/>
    <w:rsid w:val="00914ECD"/>
    <w:rsid w:val="00917EC8"/>
    <w:rsid w:val="00923AE0"/>
    <w:rsid w:val="00930815"/>
    <w:rsid w:val="00930E7D"/>
    <w:rsid w:val="00933017"/>
    <w:rsid w:val="009330D3"/>
    <w:rsid w:val="00936D40"/>
    <w:rsid w:val="00937366"/>
    <w:rsid w:val="009379A0"/>
    <w:rsid w:val="00937A7B"/>
    <w:rsid w:val="00942427"/>
    <w:rsid w:val="0094322E"/>
    <w:rsid w:val="00944084"/>
    <w:rsid w:val="00957185"/>
    <w:rsid w:val="00962AFB"/>
    <w:rsid w:val="00962B8E"/>
    <w:rsid w:val="00964FA6"/>
    <w:rsid w:val="009668CC"/>
    <w:rsid w:val="00967CD3"/>
    <w:rsid w:val="009710ED"/>
    <w:rsid w:val="00973480"/>
    <w:rsid w:val="0098178F"/>
    <w:rsid w:val="00983C84"/>
    <w:rsid w:val="00985CA6"/>
    <w:rsid w:val="00987929"/>
    <w:rsid w:val="00987F01"/>
    <w:rsid w:val="0099003B"/>
    <w:rsid w:val="00994B6F"/>
    <w:rsid w:val="00996893"/>
    <w:rsid w:val="00997B1F"/>
    <w:rsid w:val="009A102E"/>
    <w:rsid w:val="009A42E2"/>
    <w:rsid w:val="009A5EB9"/>
    <w:rsid w:val="009A7DEE"/>
    <w:rsid w:val="009B53D2"/>
    <w:rsid w:val="009B5BAB"/>
    <w:rsid w:val="009B76BE"/>
    <w:rsid w:val="009C2CEC"/>
    <w:rsid w:val="009C678D"/>
    <w:rsid w:val="009C7972"/>
    <w:rsid w:val="009D2E81"/>
    <w:rsid w:val="009D3652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6366"/>
    <w:rsid w:val="00A13AE7"/>
    <w:rsid w:val="00A13B80"/>
    <w:rsid w:val="00A20F95"/>
    <w:rsid w:val="00A22502"/>
    <w:rsid w:val="00A3480F"/>
    <w:rsid w:val="00A42052"/>
    <w:rsid w:val="00A42198"/>
    <w:rsid w:val="00A4682D"/>
    <w:rsid w:val="00A47D3C"/>
    <w:rsid w:val="00A546E0"/>
    <w:rsid w:val="00A547DE"/>
    <w:rsid w:val="00A568CA"/>
    <w:rsid w:val="00A604E0"/>
    <w:rsid w:val="00A6225F"/>
    <w:rsid w:val="00A63D44"/>
    <w:rsid w:val="00A65258"/>
    <w:rsid w:val="00A71BD3"/>
    <w:rsid w:val="00A73AD0"/>
    <w:rsid w:val="00A73E6F"/>
    <w:rsid w:val="00A75A7E"/>
    <w:rsid w:val="00A776B8"/>
    <w:rsid w:val="00A81791"/>
    <w:rsid w:val="00A83C7C"/>
    <w:rsid w:val="00A86803"/>
    <w:rsid w:val="00A90AC4"/>
    <w:rsid w:val="00A93DCF"/>
    <w:rsid w:val="00A9513B"/>
    <w:rsid w:val="00A953DF"/>
    <w:rsid w:val="00A959D1"/>
    <w:rsid w:val="00AA00D8"/>
    <w:rsid w:val="00AA371C"/>
    <w:rsid w:val="00AA77BC"/>
    <w:rsid w:val="00AB1057"/>
    <w:rsid w:val="00AB2FCF"/>
    <w:rsid w:val="00AB3C0C"/>
    <w:rsid w:val="00AB4F07"/>
    <w:rsid w:val="00AC5A0D"/>
    <w:rsid w:val="00AC6600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B10FD9"/>
    <w:rsid w:val="00B11640"/>
    <w:rsid w:val="00B16755"/>
    <w:rsid w:val="00B1746D"/>
    <w:rsid w:val="00B27029"/>
    <w:rsid w:val="00B32622"/>
    <w:rsid w:val="00B34585"/>
    <w:rsid w:val="00B51D12"/>
    <w:rsid w:val="00B576AA"/>
    <w:rsid w:val="00B62307"/>
    <w:rsid w:val="00B63C4D"/>
    <w:rsid w:val="00B640C0"/>
    <w:rsid w:val="00B668A3"/>
    <w:rsid w:val="00B714A3"/>
    <w:rsid w:val="00B715F8"/>
    <w:rsid w:val="00B732EC"/>
    <w:rsid w:val="00B754A2"/>
    <w:rsid w:val="00B81472"/>
    <w:rsid w:val="00B815CE"/>
    <w:rsid w:val="00B84B00"/>
    <w:rsid w:val="00B87D6B"/>
    <w:rsid w:val="00B95DD2"/>
    <w:rsid w:val="00B9632D"/>
    <w:rsid w:val="00B96422"/>
    <w:rsid w:val="00BA3336"/>
    <w:rsid w:val="00BA6C8E"/>
    <w:rsid w:val="00BC2E9C"/>
    <w:rsid w:val="00BC3F92"/>
    <w:rsid w:val="00BD0F7A"/>
    <w:rsid w:val="00BD6C24"/>
    <w:rsid w:val="00BE0C11"/>
    <w:rsid w:val="00BE4D92"/>
    <w:rsid w:val="00BF0724"/>
    <w:rsid w:val="00C0071F"/>
    <w:rsid w:val="00C04444"/>
    <w:rsid w:val="00C1244C"/>
    <w:rsid w:val="00C14E62"/>
    <w:rsid w:val="00C15EFB"/>
    <w:rsid w:val="00C16E02"/>
    <w:rsid w:val="00C17583"/>
    <w:rsid w:val="00C224F5"/>
    <w:rsid w:val="00C250DE"/>
    <w:rsid w:val="00C332C8"/>
    <w:rsid w:val="00C344AB"/>
    <w:rsid w:val="00C35F65"/>
    <w:rsid w:val="00C37C5B"/>
    <w:rsid w:val="00C42260"/>
    <w:rsid w:val="00C44A09"/>
    <w:rsid w:val="00C535F4"/>
    <w:rsid w:val="00C55115"/>
    <w:rsid w:val="00C61294"/>
    <w:rsid w:val="00C617E0"/>
    <w:rsid w:val="00C6629D"/>
    <w:rsid w:val="00C66DBA"/>
    <w:rsid w:val="00C70F2F"/>
    <w:rsid w:val="00C73185"/>
    <w:rsid w:val="00C73C06"/>
    <w:rsid w:val="00C74218"/>
    <w:rsid w:val="00C7600B"/>
    <w:rsid w:val="00C76820"/>
    <w:rsid w:val="00C82ED7"/>
    <w:rsid w:val="00C916E8"/>
    <w:rsid w:val="00C94926"/>
    <w:rsid w:val="00C96C5A"/>
    <w:rsid w:val="00CA58A7"/>
    <w:rsid w:val="00CB05D9"/>
    <w:rsid w:val="00CB3241"/>
    <w:rsid w:val="00CB584E"/>
    <w:rsid w:val="00CB63F0"/>
    <w:rsid w:val="00CB66D4"/>
    <w:rsid w:val="00CB7086"/>
    <w:rsid w:val="00CC0165"/>
    <w:rsid w:val="00CC11E6"/>
    <w:rsid w:val="00CC5FC3"/>
    <w:rsid w:val="00CD24DB"/>
    <w:rsid w:val="00CD36EC"/>
    <w:rsid w:val="00CD4028"/>
    <w:rsid w:val="00CD40A4"/>
    <w:rsid w:val="00CD4C23"/>
    <w:rsid w:val="00CE609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55A"/>
    <w:rsid w:val="00D23255"/>
    <w:rsid w:val="00D23CEA"/>
    <w:rsid w:val="00D27DA9"/>
    <w:rsid w:val="00D37D11"/>
    <w:rsid w:val="00D4183D"/>
    <w:rsid w:val="00D45FB2"/>
    <w:rsid w:val="00D46807"/>
    <w:rsid w:val="00D51E48"/>
    <w:rsid w:val="00D5267B"/>
    <w:rsid w:val="00D56332"/>
    <w:rsid w:val="00D61DA0"/>
    <w:rsid w:val="00D6551C"/>
    <w:rsid w:val="00D71411"/>
    <w:rsid w:val="00D7438E"/>
    <w:rsid w:val="00D74D76"/>
    <w:rsid w:val="00D84352"/>
    <w:rsid w:val="00D86C1F"/>
    <w:rsid w:val="00D879FC"/>
    <w:rsid w:val="00D92B13"/>
    <w:rsid w:val="00D94A22"/>
    <w:rsid w:val="00D95695"/>
    <w:rsid w:val="00DA1A0C"/>
    <w:rsid w:val="00DA2DBE"/>
    <w:rsid w:val="00DA5344"/>
    <w:rsid w:val="00DA53BD"/>
    <w:rsid w:val="00DA69CE"/>
    <w:rsid w:val="00DA6BF8"/>
    <w:rsid w:val="00DB42F2"/>
    <w:rsid w:val="00DB7D4E"/>
    <w:rsid w:val="00DC0091"/>
    <w:rsid w:val="00DC5D13"/>
    <w:rsid w:val="00DC7636"/>
    <w:rsid w:val="00DD5A50"/>
    <w:rsid w:val="00DF1C25"/>
    <w:rsid w:val="00DF4DBF"/>
    <w:rsid w:val="00DF5FF1"/>
    <w:rsid w:val="00DF75DE"/>
    <w:rsid w:val="00E02740"/>
    <w:rsid w:val="00E04337"/>
    <w:rsid w:val="00E125E8"/>
    <w:rsid w:val="00E14F6F"/>
    <w:rsid w:val="00E1547E"/>
    <w:rsid w:val="00E15B83"/>
    <w:rsid w:val="00E163C9"/>
    <w:rsid w:val="00E16D82"/>
    <w:rsid w:val="00E24448"/>
    <w:rsid w:val="00E269E8"/>
    <w:rsid w:val="00E34D2F"/>
    <w:rsid w:val="00E37833"/>
    <w:rsid w:val="00E40454"/>
    <w:rsid w:val="00E42DB7"/>
    <w:rsid w:val="00E50D16"/>
    <w:rsid w:val="00E51BE7"/>
    <w:rsid w:val="00E522C3"/>
    <w:rsid w:val="00E52515"/>
    <w:rsid w:val="00E5483C"/>
    <w:rsid w:val="00E60B38"/>
    <w:rsid w:val="00E61B5B"/>
    <w:rsid w:val="00E71683"/>
    <w:rsid w:val="00E810FD"/>
    <w:rsid w:val="00E83FC4"/>
    <w:rsid w:val="00E95E49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728"/>
    <w:rsid w:val="00EE6E30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1114D"/>
    <w:rsid w:val="00F13C66"/>
    <w:rsid w:val="00F143D8"/>
    <w:rsid w:val="00F15E61"/>
    <w:rsid w:val="00F16A6B"/>
    <w:rsid w:val="00F174DF"/>
    <w:rsid w:val="00F175E3"/>
    <w:rsid w:val="00F20024"/>
    <w:rsid w:val="00F21815"/>
    <w:rsid w:val="00F24F4B"/>
    <w:rsid w:val="00F27060"/>
    <w:rsid w:val="00F27211"/>
    <w:rsid w:val="00F32D01"/>
    <w:rsid w:val="00F35912"/>
    <w:rsid w:val="00F368EF"/>
    <w:rsid w:val="00F41048"/>
    <w:rsid w:val="00F52023"/>
    <w:rsid w:val="00F527F9"/>
    <w:rsid w:val="00F544FE"/>
    <w:rsid w:val="00F57CC0"/>
    <w:rsid w:val="00F63508"/>
    <w:rsid w:val="00F71B00"/>
    <w:rsid w:val="00F72031"/>
    <w:rsid w:val="00F72917"/>
    <w:rsid w:val="00F741C8"/>
    <w:rsid w:val="00F8006B"/>
    <w:rsid w:val="00F842DE"/>
    <w:rsid w:val="00F84BD9"/>
    <w:rsid w:val="00F900F1"/>
    <w:rsid w:val="00F95405"/>
    <w:rsid w:val="00F96DFB"/>
    <w:rsid w:val="00F970B8"/>
    <w:rsid w:val="00F97606"/>
    <w:rsid w:val="00F97880"/>
    <w:rsid w:val="00FA023F"/>
    <w:rsid w:val="00FA312D"/>
    <w:rsid w:val="00FA5129"/>
    <w:rsid w:val="00FA6B52"/>
    <w:rsid w:val="00FA74F6"/>
    <w:rsid w:val="00FB1B9A"/>
    <w:rsid w:val="00FB5697"/>
    <w:rsid w:val="00FC05D1"/>
    <w:rsid w:val="00FC4FC1"/>
    <w:rsid w:val="00FC730C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F9754-E428-482B-871E-47BD8D0D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1533</Words>
  <Characters>10246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Мальцева Наталья Сергеевна</cp:lastModifiedBy>
  <cp:revision>3</cp:revision>
  <cp:lastPrinted>2021-05-05T12:33:00Z</cp:lastPrinted>
  <dcterms:created xsi:type="dcterms:W3CDTF">2021-05-06T05:12:00Z</dcterms:created>
  <dcterms:modified xsi:type="dcterms:W3CDTF">2021-05-06T05:18:00Z</dcterms:modified>
</cp:coreProperties>
</file>