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10A" w:rsidRPr="0077210A" w:rsidRDefault="0077210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от 14 марта 2017 г. N 59-Пр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ОБ УТВЕРЖДЕНИИ БЮДЖЕТНОГО ПРОГНОЗА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САРАТОВСКОЙ ОБЛАСТИ НА ДОЛГОСРОЧНЫЙ ПЕРИОД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2017 - 2028 ГОДОВ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7210A" w:rsidRPr="007721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(в ред. распоряжений Правительства Саратовской области</w:t>
            </w:r>
            <w:proofErr w:type="gramEnd"/>
          </w:p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от 24.01.2018 </w:t>
            </w:r>
            <w:hyperlink r:id="rId5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11-Пр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, от 06.02.2019 </w:t>
            </w:r>
            <w:hyperlink r:id="rId6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21-Пр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, от 18.02.2020 </w:t>
            </w:r>
            <w:hyperlink r:id="rId7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19-Пр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от 17.02.2021 </w:t>
            </w:r>
            <w:hyperlink r:id="rId8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35-Пр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, от 02.02.2022 </w:t>
            </w:r>
            <w:hyperlink r:id="rId9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19-Пр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0">
        <w:r w:rsidRPr="0077210A">
          <w:rPr>
            <w:rFonts w:ascii="Times New Roman" w:hAnsi="Times New Roman" w:cs="Times New Roman"/>
            <w:sz w:val="24"/>
            <w:szCs w:val="24"/>
          </w:rPr>
          <w:t>статьей 170.1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</w:t>
      </w:r>
      <w:hyperlink r:id="rId11">
        <w:r w:rsidRPr="0077210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о порядке разработки и утверждения, периоде действия, а также требованиях к составу и содержанию бюджетного прогноза Саратовской области на долгосрочный период, утвержденным постановлением Правительства Саратовской области от 27 октября 2015 года N 540-П, утвердить бюджетный </w:t>
      </w:r>
      <w:hyperlink w:anchor="P29">
        <w:r w:rsidRPr="0077210A">
          <w:rPr>
            <w:rFonts w:ascii="Times New Roman" w:hAnsi="Times New Roman" w:cs="Times New Roman"/>
            <w:sz w:val="24"/>
            <w:szCs w:val="24"/>
          </w:rPr>
          <w:t>прогноз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Саратовской области на долгосрочный период 2017 - 2028 годов согласно приложению к настоящему распоряжению.</w:t>
      </w:r>
      <w:proofErr w:type="gramEnd"/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Губернатор</w:t>
      </w: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В.В.РАДАЕВ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от 14 марта 2017 г. N 59-Пр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9"/>
      <w:bookmarkEnd w:id="0"/>
      <w:r w:rsidRPr="0077210A">
        <w:rPr>
          <w:rFonts w:ascii="Times New Roman" w:hAnsi="Times New Roman" w:cs="Times New Roman"/>
          <w:sz w:val="24"/>
          <w:szCs w:val="24"/>
        </w:rPr>
        <w:t>БЮДЖЕТНЫЙ ПРОГНОЗ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САРАТОВСКОЙ ОБЛАСТИ НА ДОЛГОСРОЧНЫЙ ПЕРИОД 2017 - 2028 ГОДОВ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7210A" w:rsidRPr="0077210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(в ред. распоряжений Правительства Саратовской области</w:t>
            </w:r>
            <w:proofErr w:type="gramEnd"/>
          </w:p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от 24.01.2018 </w:t>
            </w:r>
            <w:hyperlink r:id="rId12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11-Пр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, от 06.02.2019 </w:t>
            </w:r>
            <w:hyperlink r:id="rId13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21-Пр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, от 18.02.2020 </w:t>
            </w:r>
            <w:hyperlink r:id="rId1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19-Пр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от 17.02.2021 </w:t>
            </w:r>
            <w:hyperlink r:id="rId15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35-Пр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, от 02.02.2022 </w:t>
            </w:r>
            <w:hyperlink r:id="rId16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N 19-Пр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Бюджетный прогноз Саратовской области на долгосрочный период 2017 - 2028 годов (далее - бюджетный прогноз) разработан в соответствии со </w:t>
      </w:r>
      <w:hyperlink r:id="rId17">
        <w:r w:rsidRPr="0077210A">
          <w:rPr>
            <w:rFonts w:ascii="Times New Roman" w:hAnsi="Times New Roman" w:cs="Times New Roman"/>
            <w:sz w:val="24"/>
            <w:szCs w:val="24"/>
          </w:rPr>
          <w:t>статьей 170.1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</w:t>
      </w:r>
      <w:hyperlink r:id="rId18">
        <w:r w:rsidRPr="0077210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о порядке разработки и утверждения, периоде действия, а также требованиях к составу и содержанию бюджетного прогноза Саратовской области на долгосрочный период, утвержденным постановлением Правительства Саратовской области от 27 октября 2015 года N 540-П.</w:t>
      </w:r>
      <w:proofErr w:type="gramEnd"/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Бюджетный прогноз сформирован на период 12 лет с учетом целевых ориентиров, установленных в Послании Президента Российской Федерации Федеральному Собранию Российской Федерации от 3 декабря 2015 года, Указами Президента Российской Федерации от 7 мая 2012 года </w:t>
      </w:r>
      <w:hyperlink r:id="rId19">
        <w:r w:rsidRPr="0077210A">
          <w:rPr>
            <w:rFonts w:ascii="Times New Roman" w:hAnsi="Times New Roman" w:cs="Times New Roman"/>
            <w:sz w:val="24"/>
            <w:szCs w:val="24"/>
          </w:rPr>
          <w:t>N 597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мероприятиях по реализации государственной социальной политики", от 7 мая 2012 года </w:t>
      </w:r>
      <w:hyperlink r:id="rId20">
        <w:r w:rsidRPr="0077210A">
          <w:rPr>
            <w:rFonts w:ascii="Times New Roman" w:hAnsi="Times New Roman" w:cs="Times New Roman"/>
            <w:sz w:val="24"/>
            <w:szCs w:val="24"/>
          </w:rPr>
          <w:t>N 598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совершенствовании государственной политики в сфере здравоохранения", от 7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мая 2012 года </w:t>
      </w:r>
      <w:hyperlink r:id="rId21">
        <w:r w:rsidRPr="0077210A">
          <w:rPr>
            <w:rFonts w:ascii="Times New Roman" w:hAnsi="Times New Roman" w:cs="Times New Roman"/>
            <w:sz w:val="24"/>
            <w:szCs w:val="24"/>
          </w:rPr>
          <w:t>N 599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мерах по реализации государственной политики в области образования и науки", от 7 мая 2012 года </w:t>
      </w:r>
      <w:hyperlink r:id="rId22">
        <w:r w:rsidRPr="0077210A">
          <w:rPr>
            <w:rFonts w:ascii="Times New Roman" w:hAnsi="Times New Roman" w:cs="Times New Roman"/>
            <w:sz w:val="24"/>
            <w:szCs w:val="24"/>
          </w:rPr>
          <w:t>N 600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мерах по обеспечению граждан Российской Федерации доступным и комфортным жильем и повышению качества жилищно-коммунальных услуг", от 7 мая 2012 года </w:t>
      </w:r>
      <w:hyperlink r:id="rId23">
        <w:r w:rsidRPr="0077210A">
          <w:rPr>
            <w:rFonts w:ascii="Times New Roman" w:hAnsi="Times New Roman" w:cs="Times New Roman"/>
            <w:sz w:val="24"/>
            <w:szCs w:val="24"/>
          </w:rPr>
          <w:t>N 601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"Об основных направлениях совершенствования системы государственного управления", от 7 мая 2012 года </w:t>
      </w:r>
      <w:hyperlink r:id="rId24">
        <w:r w:rsidRPr="0077210A">
          <w:rPr>
            <w:rFonts w:ascii="Times New Roman" w:hAnsi="Times New Roman" w:cs="Times New Roman"/>
            <w:sz w:val="24"/>
            <w:szCs w:val="24"/>
          </w:rPr>
          <w:t>N 606</w:t>
        </w:r>
        <w:proofErr w:type="gramEnd"/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О мерах по реализации демографической политики Российской Федерации", от 1 июня 2012 года </w:t>
      </w:r>
      <w:hyperlink r:id="rId25">
        <w:r w:rsidRPr="0077210A">
          <w:rPr>
            <w:rFonts w:ascii="Times New Roman" w:hAnsi="Times New Roman" w:cs="Times New Roman"/>
            <w:sz w:val="24"/>
            <w:szCs w:val="24"/>
          </w:rPr>
          <w:t>N 761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Национальной стратегии действий в интересах детей на 2012 - 2017 годы", от 28 декабря 2012 года </w:t>
      </w:r>
      <w:hyperlink r:id="rId26">
        <w:r w:rsidRPr="0077210A">
          <w:rPr>
            <w:rFonts w:ascii="Times New Roman" w:hAnsi="Times New Roman" w:cs="Times New Roman"/>
            <w:sz w:val="24"/>
            <w:szCs w:val="24"/>
          </w:rPr>
          <w:t>N 1688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некоторых мерах по реализации государственной политики в сфере защиты детей-сирот и детей, оставшихся без попечения родителей", от 7 мая 2018 года </w:t>
      </w:r>
      <w:hyperlink r:id="rId27">
        <w:r w:rsidRPr="0077210A">
          <w:rPr>
            <w:rFonts w:ascii="Times New Roman" w:hAnsi="Times New Roman" w:cs="Times New Roman"/>
            <w:sz w:val="24"/>
            <w:szCs w:val="24"/>
          </w:rPr>
          <w:t>N 204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национальных целях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и стратегических задачах развития Российской Федерации на период до 2024 года" и от 21 июля 2020 года </w:t>
      </w:r>
      <w:hyperlink r:id="rId28">
        <w:r w:rsidRPr="0077210A">
          <w:rPr>
            <w:rFonts w:ascii="Times New Roman" w:hAnsi="Times New Roman" w:cs="Times New Roman"/>
            <w:sz w:val="24"/>
            <w:szCs w:val="24"/>
          </w:rPr>
          <w:t>N 474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"О национальных целях развития Российской Федерации на период до 2030 года" (далее - Указы), </w:t>
      </w:r>
      <w:hyperlink r:id="rId29">
        <w:r w:rsidRPr="0077210A">
          <w:rPr>
            <w:rFonts w:ascii="Times New Roman" w:hAnsi="Times New Roman" w:cs="Times New Roman"/>
            <w:sz w:val="24"/>
            <w:szCs w:val="24"/>
          </w:rPr>
          <w:t>Стратегией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Саратовской области до 2030 года, утвержденной постановлением Правительства Саратовской области от 30 июня 2016 года N 321-П, утвержденными </w:t>
      </w:r>
      <w:hyperlink r:id="rId30">
        <w:r w:rsidRPr="0077210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29 марта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>2011 года N 165-П "Об исполнении условий заключенных соглашений" планами мероприятий: по повышению налоговых и неналоговых доходов, сокращению недоимки по уплате налогов в консолидированный бюджет Саратовской области, по росту доходов бюджета,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(далее - План оздоровления), по сокращению просроченной кредиторской задолженности консолидированного бюджета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Саратовской области, а также утвержденным </w:t>
      </w:r>
      <w:hyperlink r:id="rId31">
        <w:r w:rsidRPr="0077210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27 сентября 2018 года N 538-П "Об исполнении отдельных обязательств, установленных соглашением о мерах по социально-экономическому развитию и оздоровлению государственных финансов Саратовской области от 8 февраля 2018 года N 01-01-06/06-40, заключенным между Министерством финансов Российской Федерации и Губернатором </w:t>
      </w:r>
      <w:r w:rsidRPr="0077210A">
        <w:rPr>
          <w:rFonts w:ascii="Times New Roman" w:hAnsi="Times New Roman" w:cs="Times New Roman"/>
          <w:sz w:val="24"/>
          <w:szCs w:val="24"/>
        </w:rPr>
        <w:lastRenderedPageBreak/>
        <w:t>Саратовской области", Дополнительным планом мероприятий по росту доходного потенциала области и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самоуправления, определенных в порядке, установленном </w:t>
      </w:r>
      <w:hyperlink r:id="rId32">
        <w:r w:rsidRPr="0077210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ноября 2004 года N 670 "О распределении дотаций на выравнивание бюджетной обеспеченности субъектов Российской Федерации", на 2018 - 2021 годы (далее - Дополнительный план).</w:t>
      </w:r>
      <w:proofErr w:type="gramEnd"/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(часть вторая в ред. </w:t>
      </w:r>
      <w:hyperlink r:id="rId33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17.02.2021 N 35-Пр)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I. Основные итоги развития и текущее состояние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консолидированного бюджета Саратовской области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течение 2014 - 2016 годов на территории области осуществлялись мероприятия по снижению зависимости области от заемных средств по трем направлениям: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мобилизация налоговых и неналоговых доходов, сокращение недоимки по уплате налогов в консолидированный бюджет;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оптимизация расходных обязательств;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диверсификация долгового портфеля области и проведение взвешенной долговой политики.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Поступления налоговых и неналоговых доходов в консолидированный бюджет области за 2014 год составили 62601,4 млн. рублей с превышением уровня 2013 года на 2906,3 млн. рублей, или 4,9 процента.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За 2015 год в консолидированный бюджет области поступило 64507,0 млн. рублей налоговых и неналоговых доходов, что больше поступлений за 2014 год на 1905,6 млн. рублей, или 3,0 процента.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2016 году объем налоговых и неналоговых доходов консолидированного бюджета области составил 71383,9 млн. рублей с увеличением относительно 2015 года на 6876,9 млн. рублей, или 10,7 процента.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210A">
        <w:rPr>
          <w:rFonts w:ascii="Times New Roman" w:hAnsi="Times New Roman" w:cs="Times New Roman"/>
          <w:sz w:val="24"/>
          <w:szCs w:val="24"/>
        </w:rPr>
        <w:t>Безвозмездные поступления сложились в 2014 году в сумме 20108,2 млн. рублей с ростом на 0,9 процента к предшествующему году, в 2015 году в сумме 22492,3 млн. рублей с увеличением на 11,9 процента к уровню предыдущего года, в 2016 году в сумме 21758,9 млн. рублей, или 96,7 процента к уровню 2015 года.</w:t>
      </w:r>
      <w:proofErr w:type="gramEnd"/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Общая сумма расходов консолидированного бюджета за 2014 год исполнена в объеме 87912,5 млн. рублей (91,6 процента годовых назначений), за 2015 год - 92718,0 млн. рублей (92,9 процента годовых назначений), за 2016 год - 93205,2 млн. рублей (94,5 процента годовых назначений). Из общих расходов на обеспечение отраслей социальной сферы в 2014 году направлено 73 процента общих расходов, в 2015 году - 70 процентов, в 2016 году - 68,7 процента.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Консолидированный бюджет области по итогам 2014 года исполнен с дефицитом в размере 5202,9 млн. рублей (ниже уровня 2013 года на 30 процентов), по итогам 2015 года - с дефицитом (без учета использования остатков средств) в размере 4462,3 млн. рублей (ниже уровня 2014 года на 14 процентов). По областному бюджету сокращение размера дефицита составило в 2014 году - 39 процентов, в 2015 году - 17 процентов. В 2016 году областной бюджет исполнен с профицитом.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lastRenderedPageBreak/>
        <w:t>Такое последовательное снижение дефицита позволило существенно замедлить прирост долговых обязательств области.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II. Основные сценарные условия бюджетного прогноза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и показатели социально-экономического прогноза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Саратовской области на долгосрочный период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2017 - 2028 годов</w:t>
      </w:r>
    </w:p>
    <w:p w:rsidR="0077210A" w:rsidRPr="0077210A" w:rsidRDefault="007721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</w:t>
      </w:r>
      <w:proofErr w:type="gramEnd"/>
    </w:p>
    <w:p w:rsidR="0077210A" w:rsidRPr="0077210A" w:rsidRDefault="007721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В основу прогноза основных макропоказателей Саратовской области заложены условия, при которых действие </w:t>
      </w:r>
      <w:proofErr w:type="spellStart"/>
      <w:r w:rsidRPr="0077210A">
        <w:rPr>
          <w:rFonts w:ascii="Times New Roman" w:hAnsi="Times New Roman" w:cs="Times New Roman"/>
          <w:sz w:val="24"/>
          <w:szCs w:val="24"/>
        </w:rPr>
        <w:t>санкционного</w:t>
      </w:r>
      <w:proofErr w:type="spellEnd"/>
      <w:r w:rsidRPr="0077210A">
        <w:rPr>
          <w:rFonts w:ascii="Times New Roman" w:hAnsi="Times New Roman" w:cs="Times New Roman"/>
          <w:sz w:val="24"/>
          <w:szCs w:val="24"/>
        </w:rPr>
        <w:t xml:space="preserve"> режима, поддерживающего жесткие ограничения доступа российских компаний к мировому рынку капитала и технологий, а также влияние ограничительных мер, связанных с недопущением распространения </w:t>
      </w:r>
      <w:proofErr w:type="spellStart"/>
      <w:r w:rsidRPr="0077210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77210A">
        <w:rPr>
          <w:rFonts w:ascii="Times New Roman" w:hAnsi="Times New Roman" w:cs="Times New Roman"/>
          <w:sz w:val="24"/>
          <w:szCs w:val="24"/>
        </w:rPr>
        <w:t xml:space="preserve"> инфекции в 2021 году, сохранится в среднесрочном периоде.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связи с этим базовый вариант прогноза ориентирован на умеренный сценарий развития и предполагает эффективное использование всех видов внутренних ресурсов с повышением внимания к вопросам улучшения делового климата, создания благоприятных условий для осуществления хозяйственной деятельности. Позитивные изменения в экономике будут сопровождаться адекватными положительными сдвигами в социальной сфере с определенными задержками по времени.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Валовой региональный продукт области к 2028 году достигнет 1448,1 млрд. рублей и увеличится по сравнению с 2017 годом в 2 раза в действующих ценах. Среднегодовой прирост составит 2,5 процента.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Перспективы развития промышленного производства будут определяться трендом улучшения макроэкономической конъюнктуры, ростом покупательской способности, улучшением инвестиционной активности предприятий. Меры государственной поддержки обеспечат стабилизацию ситуации с поэтапным наращиванием потенциала промышленного производства и объемов произведенной продукции.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2017 - 2028 годах прогнозируется дальнейший рост промышленного производства. Среднегодовое значение индекса промышленного производства за этот период составит около 4 процентов. Объем отгруженных товаров собственного производства, выполненных работ и услуг собственными силами в 2028 году составит 1097,1 млрд. рублей, с ростом в 2,2 раза к уровню 2017 года в действующих ценах.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период до 2028 года в области прогнозируется положительная динамика объема инвестиций в основной капитал.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Данный показатель достигнет 272,2 млрд. рублей, что в 1,9 раза выше уровня 2017 года. В промышленном комплексе области, сельском хозяйстве, в сфере охраны окружающей среды будет осуществляться реализация крупных инвестиционных проектов.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В 2028 году инфляция в области ожидается на уровне 103,2 процента. В среднем за период с 2017 по 2020 годы инфляция составляла 103,7 процента, в 2021 - 2028 годах показатель среднегодовой инфляции прогнозируется на уровне 103,8 процента. В 2021 - 2022 годах в связи с экономическими последствиями, вызванными распространением новой </w:t>
      </w:r>
      <w:proofErr w:type="spellStart"/>
      <w:r w:rsidRPr="0077210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77210A">
        <w:rPr>
          <w:rFonts w:ascii="Times New Roman" w:hAnsi="Times New Roman" w:cs="Times New Roman"/>
          <w:sz w:val="24"/>
          <w:szCs w:val="24"/>
        </w:rPr>
        <w:t xml:space="preserve"> инфекции в России, потребительская инфляция, возможно, превысит прогнозные показатели, но к декабрю 2022 года, по мере стабилизации эпидемиологической обстановки ожидается снижение инфляции в годовом выражении к прогнозируемым показателям. В 2023 - 2028 годах на рост инфляции наибольшее влияние </w:t>
      </w:r>
      <w:r w:rsidRPr="0077210A">
        <w:rPr>
          <w:rFonts w:ascii="Times New Roman" w:hAnsi="Times New Roman" w:cs="Times New Roman"/>
          <w:sz w:val="24"/>
          <w:szCs w:val="24"/>
        </w:rPr>
        <w:lastRenderedPageBreak/>
        <w:t>окажет увеличивающаяся покупательная способность населения и стабилизация обменного курса.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Фонд заработной платы в период с 2017 по 2028 годы возрастет в 2,3 раза и достигнет 452,6 млрд. рублей.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Основные показатели социально-экономического развития области приведены в следующей таблице: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rPr>
          <w:rFonts w:ascii="Times New Roman" w:hAnsi="Times New Roman" w:cs="Times New Roman"/>
          <w:sz w:val="24"/>
          <w:szCs w:val="24"/>
        </w:rPr>
        <w:sectPr w:rsidR="0077210A" w:rsidRPr="0077210A" w:rsidSect="009E71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</w:tblGrid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ВРП, млн. рублей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728946,4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773838,6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811772,2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849218,4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921907,3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985648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1048719,6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1119067,7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1193546,6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1448066,3</w:t>
            </w:r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Объем отгруженных товаров собственного производства, млн. рублей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490395,0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554810,0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565615,9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569664,3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669737,6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724371,4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775645,3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830790,6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888231,4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1097132,8</w:t>
            </w:r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Индекс промышленного производства в процентах к предыдущему году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100,7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107,1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111,9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102,96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102,99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103,3</w:t>
            </w:r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Инвестиции в основной капитал, млн. рублей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145163,6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154864,1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162120,3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167233,2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173000,0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182300,0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195400,0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210500,0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224284,0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272224,0</w:t>
            </w:r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Фонд оплаты труда работающих (всего), млн. рублей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197220,7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214317,2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236166,3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250773,1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270506,7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289732,6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310946,2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344375,2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369076,8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452557,1</w:t>
            </w:r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Индекс потребительских цен, декабрь к декабрю, процентов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101,2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104,2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105,5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103,8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103,8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103,7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103,5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постоянного населения среднегодовая, тыс. человек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2471,1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2451,9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2431,4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2408,5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2390,5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2378,8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2360,8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2342,5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2324,0 </w:t>
            </w:r>
            <w:hyperlink w:anchor="P17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2269,8 </w:t>
            </w:r>
            <w:hyperlink w:anchor="P17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77210A" w:rsidRPr="0077210A">
        <w:tc>
          <w:tcPr>
            <w:tcW w:w="1984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Доля трудоспособного населения, процентов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57,4</w:t>
            </w:r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57,4 </w:t>
            </w:r>
            <w:hyperlink w:anchor="P17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160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60,0 </w:t>
            </w:r>
            <w:hyperlink w:anchor="P17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</w:tbl>
    <w:p w:rsidR="0077210A" w:rsidRPr="0077210A" w:rsidRDefault="0077210A" w:rsidP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7210A" w:rsidRPr="0077210A" w:rsidRDefault="0077210A" w:rsidP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74"/>
      <w:bookmarkEnd w:id="1"/>
      <w:r w:rsidRPr="0077210A">
        <w:rPr>
          <w:rFonts w:ascii="Times New Roman" w:hAnsi="Times New Roman" w:cs="Times New Roman"/>
          <w:sz w:val="24"/>
          <w:szCs w:val="24"/>
        </w:rPr>
        <w:t>&lt;*&gt; Данные приведены в соответствии со статистическим сборником "Прогноз численности населения Саратовской области до 2035 года".</w:t>
      </w:r>
    </w:p>
    <w:p w:rsidR="0077210A" w:rsidRPr="0077210A" w:rsidRDefault="0077210A">
      <w:pPr>
        <w:pStyle w:val="ConsPlusNormal"/>
        <w:rPr>
          <w:rFonts w:ascii="Times New Roman" w:hAnsi="Times New Roman" w:cs="Times New Roman"/>
          <w:sz w:val="24"/>
          <w:szCs w:val="24"/>
        </w:rPr>
        <w:sectPr w:rsidR="0077210A" w:rsidRPr="0077210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III. Подходы и методология разработки бюджетного прогноза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Проектировки бюджетного прогноза основаны на показателях прогноза социально-экономического развития области на долгосрочный период.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долгосрочной перспективе планируется продолжить реализацию основных направлений начатой в 2016 году бюджетной политики, нацеленной на обеспечение сбалансированности и устойчивости бюджета в условиях ограниченности финансовых ресурсов.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Основными задачами на период 2017 - 2028 годов являются: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концентрация финансовых ресурсов на приоритетных направлениях государственной политики, в том числе на реализации задач, поставленных в Указах;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совершенствование процессов управления в органах государственной власти области и органах местного самоуправления области, в том числе за счет передачи части неспецифических для них функций в подведомственные учреждения и (или) многофункциональный центр предоставления государственных и муниципальных услуг;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проведение дальнейшей оптимизации бюджетной сети учреждений, включая ликвидацию или преобразование учреждений, не оказывающих услуги (не выполняющих работы), непосредственно направленные на реализацию полномочий органов государственной власти и органов местного самоуправления, в организации иной организационно-правовой формы;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расширение применения принципов адресности и нуждаемости при предоставлении гражданам мер социальной поддержки;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повышение ориентированности бюджетных расходов на достижение целей государственных программ области и расширение их использования в бюджетном планировании;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повышение эффективности финансовых взаимоотношений с местными бюджетами;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дальнейшая оптимизация структуры долговых обязательств, их снижение до экономически безопасного уровня.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Бюджетный прогноз разработан в условиях действующего налогового и бюджетного законодательства с учетом следующих подходов: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упорядочения системы предоставляемых льгот;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повышения эффективности использования государственного и муниципального имущества;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210A">
        <w:rPr>
          <w:rFonts w:ascii="Times New Roman" w:hAnsi="Times New Roman" w:cs="Times New Roman"/>
          <w:sz w:val="24"/>
          <w:szCs w:val="24"/>
        </w:rPr>
        <w:t>прогнозируемого увеличения расходных обязательств в связи с необходимостью исполнения Указов, проведения установленной законодательством индексации социальных и иных выплат населению, соблюдения установленных требований законодательства в отношении дорожных фондов и минимального размера оплаты труда, увеличения тарифов на оплату жилищно-коммунальных услуг, а также в соответствии с отдельно принимаемыми решениями;</w:t>
      </w:r>
      <w:proofErr w:type="gramEnd"/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осуществления оптимизации расходных обязательств, в том числе в рамках реализации Плана оздоровления и Дополнительного плана;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35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17.02.2021 N 35-Пр)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ограничения принятия новых расходных обязательств за счет привлечения рыночных заимствований;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снижения объема государственного и муниципального долга области.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IV. Прогноз основных характеристик и иных показателей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консолидированного бюджета Саратовской области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на долгосрочный период 2017 - 2028 годов</w:t>
      </w:r>
    </w:p>
    <w:p w:rsidR="0077210A" w:rsidRPr="0077210A" w:rsidRDefault="007721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7210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6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</w:t>
      </w:r>
      <w:proofErr w:type="gramEnd"/>
    </w:p>
    <w:p w:rsidR="0077210A" w:rsidRPr="0077210A" w:rsidRDefault="007721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Основные характеристики консолидированного бюджета области на долгосрочный период представлены в следующей таблице: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77210A">
        <w:rPr>
          <w:rFonts w:ascii="Times New Roman" w:hAnsi="Times New Roman" w:cs="Times New Roman"/>
          <w:sz w:val="24"/>
          <w:szCs w:val="24"/>
        </w:rPr>
        <w:t>(млн. рублей)</w:t>
      </w:r>
    </w:p>
    <w:p w:rsidR="0077210A" w:rsidRPr="0077210A" w:rsidRDefault="0077210A">
      <w:pPr>
        <w:pStyle w:val="ConsPlusNormal"/>
        <w:rPr>
          <w:rFonts w:ascii="Times New Roman" w:hAnsi="Times New Roman" w:cs="Times New Roman"/>
          <w:sz w:val="24"/>
          <w:szCs w:val="24"/>
        </w:rPr>
        <w:sectPr w:rsidR="0077210A" w:rsidRPr="0077210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77210A" w:rsidRPr="0077210A">
        <w:tc>
          <w:tcPr>
            <w:tcW w:w="13555" w:type="dxa"/>
            <w:gridSpan w:val="9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76609,1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84413,5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86039,7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85924,8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109352,5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102893,8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110684,6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129123,2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23113,2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26153,5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35222,3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60516,0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59021,1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45640,9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14064,9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15488,8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нецелевые поступления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8999,7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12028,8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15409,2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23179,2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16537,3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12541,9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7443,9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8197,6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целевые поступления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14113,5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14124,7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19813,1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37336,8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42483,8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33099,0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6621,0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7291,2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Доходы - всего: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99722,3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110567,0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121262,0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146440,8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168373,6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148534,7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124749,5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144612,0</w:t>
            </w:r>
          </w:p>
        </w:tc>
      </w:tr>
      <w:tr w:rsidR="0077210A" w:rsidRPr="0077210A">
        <w:tc>
          <w:tcPr>
            <w:tcW w:w="13555" w:type="dxa"/>
            <w:gridSpan w:val="9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Расходы за счет собственных средств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84874,0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91116,9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102285,3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112576,3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122609,6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123477,5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116315,3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135767,5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Расходы за счет целевых поступлений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14113,5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14124,7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19813,1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37336,8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42376,3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33099,0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6621,0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7291,2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Расходы - всего: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98987,5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105241,6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122098,4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149913,1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164985,9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156576,5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122936,3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143058,7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gramStart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(-)/</w:t>
            </w:r>
            <w:proofErr w:type="gramEnd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профицит (+)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734,8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5325,4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-836,4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-3472,3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3387,7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-8041,8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1813,2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1553,3</w:t>
            </w: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V. Структура доходов и расходов областного бюджета</w:t>
      </w:r>
    </w:p>
    <w:p w:rsidR="0077210A" w:rsidRPr="0077210A" w:rsidRDefault="007721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на долгосрочный период 2017 - 2028 годов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Основные характеристики областного бюджета на долгосрочный период представлены в следующей таблице: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(млн. рублей)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Доходы - всего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83567,5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93854,1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104015,0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128363,2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145327,6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126437,4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102085,5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118233,4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60415,4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67660,8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68670,9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67804,6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86293,7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80796,5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88020,6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102744,6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23152,1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26193,3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35344,1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60558,6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59033,9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45640,9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14064,9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15488,8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Расходы - всего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81180,7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88203,8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104124,6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132414,0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141293,4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134479,1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100635,6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116833,6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gramStart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(-) / </w:t>
            </w:r>
            <w:proofErr w:type="gramEnd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профицит (+)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2386,8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5650,3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-109,6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-4050,8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4034,2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-8041,8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1449,9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1399,8</w:t>
            </w: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(таблица в ред. </w:t>
      </w:r>
      <w:hyperlink r:id="rId37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Прогноз поступлений налоговых и неналоговых доходов областного бюджета на долгосрочный период в разрезе основных доходных источников представлен в следующей таблице: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(млн. рублей)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60415,4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67660,8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68670,9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67804,6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86293,7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80796,5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88020,6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102744,6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налоговые доходы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58993,9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66193,0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67236,0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66458,2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84451,1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79554,9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86619,7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101341,7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19065,7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21387,5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20730,5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17576,1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29577,5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23477,6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23438,6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27925,3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20130,9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22057,5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23012,0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25280,9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27521,7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28869,4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34269,5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42024,2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</w:t>
            </w: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8602,9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10140,4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8767,6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7502,3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7963,2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8253,2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12325,0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13034,7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неналоговые доходы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1421,5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1467,8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1434,9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1346,4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1842,6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1241,6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1400,9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1402,9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Из 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6620,6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7037,0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8849,9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10175,8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10975,0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10038,5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11459,0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12714,4</w:t>
            </w: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(таблица в ред. </w:t>
      </w:r>
      <w:hyperlink r:id="rId38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В целом структура налоговых и неналоговых доходов областного бюджета сохранится. Поступление трех основных </w:t>
      </w:r>
      <w:proofErr w:type="spellStart"/>
      <w:r w:rsidRPr="0077210A">
        <w:rPr>
          <w:rFonts w:ascii="Times New Roman" w:hAnsi="Times New Roman" w:cs="Times New Roman"/>
          <w:sz w:val="24"/>
          <w:szCs w:val="24"/>
        </w:rPr>
        <w:t>бюджетообразующих</w:t>
      </w:r>
      <w:proofErr w:type="spellEnd"/>
      <w:r w:rsidRPr="0077210A">
        <w:rPr>
          <w:rFonts w:ascii="Times New Roman" w:hAnsi="Times New Roman" w:cs="Times New Roman"/>
          <w:sz w:val="24"/>
          <w:szCs w:val="24"/>
        </w:rPr>
        <w:t xml:space="preserve"> доходных источников - налога на прибыль организаций, налога на доходы физических лиц и налога на имущество организаций обеспечат от 79,1 процента в 2017 до 80,8 процента в 2028 году общего объема налоговых и неналоговых доходов.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9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18.02.2020 N 19-Пр)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Доля налога на доходы физических лиц возрастет с 33,1 процента в 2017 году до 40,9 процента в 2028 году при сохранении плоской шкалы налогообложения. Объем налога увеличится за прогнозируемый период в 2,1 раза, что соответствует прогнозируемому росту налоговой базы.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0">
        <w:r w:rsidRPr="0077210A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18.02.2020 N 19-Пр)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Одновременно структурная доля налога на прибыль организаций снизится с 31,6 процента в 2017 году до 27,2 процента в 2028 году, сократится вклад налога на имущество организаций с 14,2 процента в 2017 году до 12,7 процента в 2028 году. При этом налог на прибыль организаций увеличится в 1,5 раза, налог на имущество организаций - также в 1,5 раза.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 xml:space="preserve">асть пятая в ред. </w:t>
      </w:r>
      <w:hyperlink r:id="rId41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18.02.2020 N 19-Пр)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целом налоговые и неналоговые доходы увеличатся с 2017 по 2028 годы в 1,7 раза с 60,4 млрд. рублей до 102,7 млрд. рублей.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2">
        <w:r w:rsidRPr="0077210A">
          <w:rPr>
            <w:rFonts w:ascii="Times New Roman" w:hAnsi="Times New Roman" w:cs="Times New Roman"/>
            <w:sz w:val="24"/>
            <w:szCs w:val="24"/>
          </w:rPr>
          <w:t>распоряжение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18.02.2020 N 19-Пр)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долгосрочном периоде прогнозируется получение безвозмездных поступлений только из одного источника - федерального бюджета, поскольку он представляет собой неизменный фактор в периоде планирования.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Ожидается, что все основные целевые направления субсидирования из федерального бюджета (сельское хозяйство, здравоохранение) и перечень передаваемых полномочий Российской Федерации будут сохранены, их ежегодное увеличение прогнозируется с учетом изменения </w:t>
      </w:r>
      <w:r w:rsidRPr="0077210A">
        <w:rPr>
          <w:rFonts w:ascii="Times New Roman" w:hAnsi="Times New Roman" w:cs="Times New Roman"/>
          <w:sz w:val="24"/>
          <w:szCs w:val="24"/>
        </w:rPr>
        <w:lastRenderedPageBreak/>
        <w:t>индекса потребительских цен.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Основные проектировки безвозмездных поступлений представлены в следующей таблице: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(млн. рублей)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- всего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23152,1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26193,3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35344,1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60558,6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59033,9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45640,9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14064,9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15488,8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из федерального бюджета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20806,7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25898,4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34160,0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58173,3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55070,4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45640,9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14064,9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15488,8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дотации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10527,0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12701,7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15507,9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23253,6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16592,3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12579,6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7521,3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8270,3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субсидии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4758,0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4945,1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8238,0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18558,2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20499,6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24068,0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2307,3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2540,8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субвенции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3491,2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3606,8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4318,5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7460,9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5943,2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5117,3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4059,4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4470,4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2030,5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4644,8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6095,6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8900,6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13249,4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3876,0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176,9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207,3</w:t>
            </w:r>
          </w:p>
        </w:tc>
      </w:tr>
    </w:tbl>
    <w:p w:rsidR="0077210A" w:rsidRPr="0077210A" w:rsidRDefault="0077210A">
      <w:pPr>
        <w:pStyle w:val="ConsPlusNormal"/>
        <w:rPr>
          <w:rFonts w:ascii="Times New Roman" w:hAnsi="Times New Roman" w:cs="Times New Roman"/>
          <w:sz w:val="24"/>
          <w:szCs w:val="24"/>
        </w:rPr>
        <w:sectPr w:rsidR="0077210A" w:rsidRPr="0077210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lastRenderedPageBreak/>
        <w:t xml:space="preserve">(таблица в ред. </w:t>
      </w:r>
      <w:hyperlink r:id="rId43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долгосрочном периоде расчет предельной величины расходов бюджета произведен исходя из необходимости ограничений, нацеленных на снижение темпов наращивания долговых обязательств области, и их фактического сокращения до экономически безопасного уровня.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этой связи прогнозирование в долгосрочном периоде осуществлялось на следующих принципах: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расходы на оплату труда отдельных категорий работников бюджетной сферы, установленных Указами, прогнозировались с учетом изменения среднего дохода от трудовой деятельности и допустимого 5-процентного "</w:t>
      </w:r>
      <w:proofErr w:type="spellStart"/>
      <w:r w:rsidRPr="0077210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77210A">
        <w:rPr>
          <w:rFonts w:ascii="Times New Roman" w:hAnsi="Times New Roman" w:cs="Times New Roman"/>
          <w:sz w:val="24"/>
          <w:szCs w:val="24"/>
        </w:rPr>
        <w:t>" целевых ориентиров;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расходы на обслуживание заемных сре</w:t>
      </w:r>
      <w:proofErr w:type="gramStart"/>
      <w:r w:rsidRPr="0077210A">
        <w:rPr>
          <w:rFonts w:ascii="Times New Roman" w:hAnsi="Times New Roman" w:cs="Times New Roman"/>
          <w:sz w:val="24"/>
          <w:szCs w:val="24"/>
        </w:rPr>
        <w:t>дств спр</w:t>
      </w:r>
      <w:proofErr w:type="gramEnd"/>
      <w:r w:rsidRPr="0077210A">
        <w:rPr>
          <w:rFonts w:ascii="Times New Roman" w:hAnsi="Times New Roman" w:cs="Times New Roman"/>
          <w:sz w:val="24"/>
          <w:szCs w:val="24"/>
        </w:rPr>
        <w:t>огнозированы в перспективе с ежегодным, начиная с 2018 года, сокращением не менее чем на 5 процентов при ожидаемом снижении объемов государственных долговых обязательств;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по остальным расходным обязательствам ожидаемый ежегодный прирост, начиная с 2020 года, ограничен индексом потребительских цен (декабрь к декабрю).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Основные показатели расходов областного бюджета на долгосрочный период представлены в следующей таблице: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(млн. рублей)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Расходы областного бюджета - всего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81180,7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88203,8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104124,6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132414,0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141293,4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134479,1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100635,6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116833,6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областной дорожный фонд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7002,3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8297,6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12678,7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12600,3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15031,0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12450,6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11459,0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12714,4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26718,9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29527,6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36693,2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40778,4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44383,3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39101,5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29752,0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38275,7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них субвенции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16465,9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17550,2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18606,3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20651,8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22932,0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24412,1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24010,9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29162,3</w:t>
            </w: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(таблица в ред. </w:t>
      </w:r>
      <w:hyperlink r:id="rId44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Показатели финансового обеспечения государственных программ Саратовской области представлены в следующей таблице: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(млн. рублей)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программ, подпрограмм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45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здравоохранения Саратовской области до 2020 года"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14142,6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15337,9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46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образования в Саратовской области до 2020 года" (2017 год); государственная </w:t>
            </w:r>
            <w:hyperlink r:id="rId47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образования в Саратовской области до 2025 года" (2018 год)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19946,9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23135,9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48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"Социальная поддержка и социальное обслуживание населения Саратовской области" (2017, 2018 годы - государственная </w:t>
            </w:r>
            <w:hyperlink r:id="rId49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Саратовской области "Социальная поддержка и социальное обслуживание граждан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15447,8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16181,1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17703,0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24774,4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26733,3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27483,7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27700,4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28280,8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hyperlink r:id="rId50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"Обеспечение населения доступным жильем и развитие жилищно-коммунальной инфраструктуры до 2020 года"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3852,6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1502,1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51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 (2017, 2018 годы - государственная </w:t>
            </w:r>
            <w:hyperlink r:id="rId52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637,4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1091,8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3294,6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53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"Культура Саратовской области" (2017, 2018 годы - государственная </w:t>
            </w:r>
            <w:hyperlink r:id="rId5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"Культура Саратовской области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1640,0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1534,8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1938,5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2238,0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3265,8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4382,1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2993,6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3030,5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hyperlink r:id="rId55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физической культуры, спорта, туризма и молодежной политики" (2017, 2018 годы - государственная </w:t>
            </w:r>
            <w:hyperlink r:id="rId56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физической культуры, спорта, туризма и молодежной политики" на 2014 - 2020 годы)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1070,8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1249,7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2376,5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1932,5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1351,2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1316,9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57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экономического потенциала и повышение инвестиционной привлекательности региона" (2017, 2018 годы - государственная </w:t>
            </w:r>
            <w:hyperlink r:id="rId58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экономического потенциала и повышение инвестиционной привлекательности региона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579,6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835,7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965,3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798,5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818,2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852,4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749,0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59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"Информационное общество на 2014 - 2017 годы"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175,8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hyperlink r:id="rId60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образования в Саратовской области"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27383,3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27414,8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31146,5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32682,2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32526,2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32024,8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1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"Обеспечение населения доступным жильем и развитие жилищно-коммунальной инфраструктуры"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2030,1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5404,2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6514,1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5303,6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6032,7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2819,5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2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"Содействие занятости населения, совершенствование социально-трудовых отношений и регулирование трудовой миграции в Саратовской области"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1294,7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1119,4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1124,3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1124,7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3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2663,4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2640,3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2961,7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3872,3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3843,9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4184,5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здравоохранения"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19327,8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30906,0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31552,4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26941,7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24161,5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24251,8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hyperlink r:id="rId65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транспортной системы"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13188,5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13331,7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15847,7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12747,6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14174,1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16065,0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6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"Информационное общество"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78,1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752,0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7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транспортной системы до 2020 года"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6851,8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9314,8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8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 на 2014 - 2020 годы"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2953,1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3018,7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69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"Охрана окружающей среды, воспроизводство и рациональное использование природных ресурсов Саратовской области" (2017, 2018 годы - государственная </w:t>
            </w:r>
            <w:hyperlink r:id="rId70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"Охрана окружающей среды, воспроизводство и </w:t>
            </w: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рациональное использование природных ресурсов Саратовской области на период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457,9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319,2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559,0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1127,8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1792,0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854,6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714,5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328,8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hyperlink r:id="rId71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"Повышение </w:t>
            </w:r>
            <w:proofErr w:type="spellStart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и энергосбережения в Саратовской области" (2017, 2018 годы - государственная </w:t>
            </w:r>
            <w:hyperlink r:id="rId72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"Повышение </w:t>
            </w:r>
            <w:proofErr w:type="spellStart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и энергосбережения в Саратовской области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107,9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151,4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113,2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73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"Защита населения и территорий от чрезвычайных ситуаций, обеспечение пожарной безопасности" (2017, 2018 годы - государственная </w:t>
            </w:r>
            <w:hyperlink r:id="rId7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"Защита населения и территорий от чрезвычайных ситуаций, обеспечение пожарной безопасности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448,2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470,7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852,6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940,0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807,9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774,2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712,8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75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Саратовской области "Профилактика правонарушений, терроризма, экстремизма и противодействие незаконному обороту наркотических средств" (2017, 2018 годы - государственная </w:t>
            </w:r>
            <w:hyperlink r:id="rId76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"Профилактика правонарушений, терроризма, экстремизма и противодействие незаконному обороту наркотических средств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81,9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85,3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241,7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163,5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127,6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168,6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218,6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hyperlink r:id="rId77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государственного и муниципального управления" (2017, 2018 годы - государственная </w:t>
            </w:r>
            <w:hyperlink r:id="rId78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государственного и муниципального управления до 2020 года")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7725,4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8518,4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9448,0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9557,3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8799,6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8663,0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6871,7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6954,5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79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промышленности в Саратовской области" (2017, 2018 годы - государственная </w:t>
            </w:r>
            <w:hyperlink r:id="rId80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"Развитие промышленности в Саратовской </w:t>
            </w: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на 2016 - 2018 годы")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hyperlink r:id="rId81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"Патриотическое воспитание граждан в Саратовской области" (2018 год - государственная </w:t>
            </w:r>
            <w:hyperlink r:id="rId82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"Патриотическое воспитание граждан в Саратовской области на 2018 - 2020 годы")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83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"Формирование комфортной городской среды" (2018, 2019 годы - государственная </w:t>
            </w:r>
            <w:hyperlink r:id="rId84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"Формирование комфортной городской среды на 2018 - 2022 годы")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584,5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978,5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1563,0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2686,8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983,4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693,4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770,4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hyperlink r:id="rId85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программа</w:t>
              </w:r>
            </w:hyperlink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 Саратовской области "Комплексное развитие сельских территорий"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346,1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195,5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146,0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178,9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Итого по программам: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75194,4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82465,8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99572,2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127179,4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137097,4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128707,4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124491,7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123889,7</w:t>
            </w: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(таблица в ред. </w:t>
      </w:r>
      <w:hyperlink r:id="rId86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Формирование показателей финансового обеспечения по государственным программам на 2020 год осуществлялось в объемах не ниже уровня 2019 года.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lastRenderedPageBreak/>
        <w:t>VI. Долговые заимствования области и их обслуживание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В долгосрочном периоде реализация мероприятий по дальнейшей оптимизации структуры долговых обязательств и в перспективе к снижению до экономически безопасного уровня будет обеспечиваться за счет сокращения дефицитов бюджетов как областного, так и муниципального уровней.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Ожидается плавное увеличение объемов погашения государственных и муниципальных заимствований и достижение к 2028 году отношения долга к налоговым и неналоговым доходам соответствующих бюджетов не выше 40 процентов и 30 процентов соответственно: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(млн. рублей)</w:t>
      </w:r>
    </w:p>
    <w:p w:rsidR="0077210A" w:rsidRPr="0077210A" w:rsidRDefault="0077210A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255"/>
        <w:gridCol w:w="1255"/>
        <w:gridCol w:w="1255"/>
        <w:gridCol w:w="1255"/>
        <w:gridCol w:w="1255"/>
        <w:gridCol w:w="1255"/>
        <w:gridCol w:w="1255"/>
        <w:gridCol w:w="1255"/>
      </w:tblGrid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  <w:hyperlink w:anchor="P911">
              <w:r w:rsidRPr="0077210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Соотношение объема государственного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70,9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объема </w:t>
            </w: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100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34,4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7210A" w:rsidRPr="0077210A">
        <w:tc>
          <w:tcPr>
            <w:tcW w:w="3515" w:type="dxa"/>
          </w:tcPr>
          <w:p w:rsidR="0077210A" w:rsidRPr="0077210A" w:rsidRDefault="007721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&lt;= 5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255" w:type="dxa"/>
          </w:tcPr>
          <w:p w:rsidR="0077210A" w:rsidRPr="0077210A" w:rsidRDefault="007721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10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</w:tbl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(таблица в ред. </w:t>
      </w:r>
      <w:hyperlink r:id="rId87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7210A" w:rsidRPr="0077210A" w:rsidRDefault="0077210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11"/>
      <w:bookmarkEnd w:id="3"/>
      <w:r w:rsidRPr="0077210A">
        <w:rPr>
          <w:rFonts w:ascii="Times New Roman" w:hAnsi="Times New Roman" w:cs="Times New Roman"/>
          <w:sz w:val="24"/>
          <w:szCs w:val="24"/>
        </w:rPr>
        <w:t xml:space="preserve">&lt;*&gt; С учетом влияния распространения </w:t>
      </w:r>
      <w:proofErr w:type="spellStart"/>
      <w:r w:rsidRPr="0077210A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77210A">
        <w:rPr>
          <w:rFonts w:ascii="Times New Roman" w:hAnsi="Times New Roman" w:cs="Times New Roman"/>
          <w:sz w:val="24"/>
          <w:szCs w:val="24"/>
        </w:rPr>
        <w:t xml:space="preserve"> инфекции на социально-экономическое развитие области.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7210A">
        <w:rPr>
          <w:rFonts w:ascii="Times New Roman" w:hAnsi="Times New Roman" w:cs="Times New Roman"/>
          <w:sz w:val="24"/>
          <w:szCs w:val="24"/>
        </w:rPr>
        <w:t xml:space="preserve">(сноска в ред. </w:t>
      </w:r>
      <w:hyperlink r:id="rId88">
        <w:r w:rsidRPr="0077210A">
          <w:rPr>
            <w:rFonts w:ascii="Times New Roman" w:hAnsi="Times New Roman" w:cs="Times New Roman"/>
            <w:sz w:val="24"/>
            <w:szCs w:val="24"/>
          </w:rPr>
          <w:t>распоряжения</w:t>
        </w:r>
      </w:hyperlink>
      <w:r w:rsidRPr="0077210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02.02.2022 N 19-Пр)</w:t>
      </w: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210A" w:rsidRPr="0077210A" w:rsidRDefault="0077210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77210A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77210A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10A"/>
    <w:rsid w:val="006C4724"/>
    <w:rsid w:val="006E2B41"/>
    <w:rsid w:val="0077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210A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  <w:style w:type="paragraph" w:customStyle="1" w:styleId="ConsPlusNonformat">
    <w:name w:val="ConsPlusNonformat"/>
    <w:rsid w:val="0077210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77210A"/>
    <w:pPr>
      <w:widowControl w:val="0"/>
      <w:autoSpaceDE w:val="0"/>
      <w:autoSpaceDN w:val="0"/>
    </w:pPr>
    <w:rPr>
      <w:rFonts w:ascii="Arial" w:eastAsiaTheme="minorEastAsia" w:hAnsi="Arial"/>
      <w:b/>
      <w:szCs w:val="22"/>
      <w:lang w:eastAsia="ru-RU"/>
    </w:rPr>
  </w:style>
  <w:style w:type="paragraph" w:customStyle="1" w:styleId="ConsPlusCell">
    <w:name w:val="ConsPlusCell"/>
    <w:rsid w:val="0077210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77210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Page">
    <w:name w:val="ConsPlusTitlePage"/>
    <w:rsid w:val="0077210A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77210A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77210A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210A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  <w:style w:type="paragraph" w:customStyle="1" w:styleId="ConsPlusNonformat">
    <w:name w:val="ConsPlusNonformat"/>
    <w:rsid w:val="0077210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77210A"/>
    <w:pPr>
      <w:widowControl w:val="0"/>
      <w:autoSpaceDE w:val="0"/>
      <w:autoSpaceDN w:val="0"/>
    </w:pPr>
    <w:rPr>
      <w:rFonts w:ascii="Arial" w:eastAsiaTheme="minorEastAsia" w:hAnsi="Arial"/>
      <w:b/>
      <w:szCs w:val="22"/>
      <w:lang w:eastAsia="ru-RU"/>
    </w:rPr>
  </w:style>
  <w:style w:type="paragraph" w:customStyle="1" w:styleId="ConsPlusCell">
    <w:name w:val="ConsPlusCell"/>
    <w:rsid w:val="0077210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77210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Page">
    <w:name w:val="ConsPlusTitlePage"/>
    <w:rsid w:val="0077210A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77210A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77210A"/>
    <w:pPr>
      <w:widowControl w:val="0"/>
      <w:autoSpaceDE w:val="0"/>
      <w:autoSpaceDN w:val="0"/>
    </w:pPr>
    <w:rPr>
      <w:rFonts w:ascii="Arial" w:eastAsiaTheme="minorEastAsia" w:hAnsi="Arial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B764B435D0B2838FACB5213954117CAE6FA6BB2750F0F332FFF380B3CC2A53D3B7545C234440DF2746F59BC17B2536F619F85E53675AEA7713F2C2Dg8x7L" TargetMode="External"/><Relationship Id="rId18" Type="http://schemas.openxmlformats.org/officeDocument/2006/relationships/hyperlink" Target="consultantplus://offline/ref=AB764B435D0B2838FACB5213954117CAE6FA6BB27C07073629F16501349BA93F3C7A1AD5330D01F3746F58BC19ED567A70C788E22F6BACBB6D3D2Eg2xDL" TargetMode="External"/><Relationship Id="rId26" Type="http://schemas.openxmlformats.org/officeDocument/2006/relationships/hyperlink" Target="consultantplus://offline/ref=AB764B435D0B2838FACB4C1E832D4AC2ECF937B871060C6770AE3E5C6392A36869351B9B77071EF376715BBC10gBxBL" TargetMode="External"/><Relationship Id="rId39" Type="http://schemas.openxmlformats.org/officeDocument/2006/relationships/hyperlink" Target="consultantplus://offline/ref=AB764B435D0B2838FACB5213954117CAE6FA6BB2750C00372DF8380B3CC2A53D3B7545C234440DF2746F5BBB11B2536F619F85E53675AEA7713F2C2Dg8x7L" TargetMode="External"/><Relationship Id="rId21" Type="http://schemas.openxmlformats.org/officeDocument/2006/relationships/hyperlink" Target="consultantplus://offline/ref=AB764B435D0B2838FACB4C1E832D4AC2EFF33CBC70080C6770AE3E5C6392A36869351B9B77071EF376715BBC10gBxBL" TargetMode="External"/><Relationship Id="rId34" Type="http://schemas.openxmlformats.org/officeDocument/2006/relationships/hyperlink" Target="consultantplus://offline/ref=AB764B435D0B2838FACB5213954117CAE6FA6BB2750A003325F3380B3CC2A53D3B7545C234440DF2746F59BC14B2536F619F85E53675AEA7713F2C2Dg8x7L" TargetMode="External"/><Relationship Id="rId42" Type="http://schemas.openxmlformats.org/officeDocument/2006/relationships/hyperlink" Target="consultantplus://offline/ref=AB764B435D0B2838FACB5213954117CAE6FA6BB2750C00372DF8380B3CC2A53D3B7545C234440DF2746F5BBB15B2536F619F85E53675AEA7713F2C2Dg8x7L" TargetMode="External"/><Relationship Id="rId47" Type="http://schemas.openxmlformats.org/officeDocument/2006/relationships/hyperlink" Target="consultantplus://offline/ref=AB764B435D0B2838FACB5213954117CAE6FA6BB2750F00362FF8380B3CC2A53D3B7545C234440DF275695CBB12B2536F619F85E53675AEA7713F2C2Dg8x7L" TargetMode="External"/><Relationship Id="rId50" Type="http://schemas.openxmlformats.org/officeDocument/2006/relationships/hyperlink" Target="consultantplus://offline/ref=AB764B435D0B2838FACB5213954117CAE6FA6BB2750F003725FD380B3CC2A53D3B7545C234440DF2746F59BC1BB2536F619F85E53675AEA7713F2C2Dg8x7L" TargetMode="External"/><Relationship Id="rId55" Type="http://schemas.openxmlformats.org/officeDocument/2006/relationships/hyperlink" Target="consultantplus://offline/ref=AB764B435D0B2838FACB5213954117CAE6FA6BB2750B043128F2380B3CC2A53D3B7545C234440DF2716E5CBE16B2536F619F85E53675AEA7713F2C2Dg8x7L" TargetMode="External"/><Relationship Id="rId63" Type="http://schemas.openxmlformats.org/officeDocument/2006/relationships/hyperlink" Target="consultantplus://offline/ref=AB764B435D0B2838FACB5213954117CAE6FA6BB2750B05392CFA380B3CC2A53D3B7545C234440DF2746F59BD13B2536F619F85E53675AEA7713F2C2Dg8x7L" TargetMode="External"/><Relationship Id="rId68" Type="http://schemas.openxmlformats.org/officeDocument/2006/relationships/hyperlink" Target="consultantplus://offline/ref=AB764B435D0B2838FACB5213954117CAE6FA6BB2750F003529FA380B3CC2A53D3B7545C234440DF2746F59BC1BB2536F619F85E53675AEA7713F2C2Dg8x7L" TargetMode="External"/><Relationship Id="rId76" Type="http://schemas.openxmlformats.org/officeDocument/2006/relationships/hyperlink" Target="consultantplus://offline/ref=AB764B435D0B2838FACB5213954117CAE6FA6BB2750B04342BFF380B3CC2A53D3B7545C234440DF2746958B512B2536F619F85E53675AEA7713F2C2Dg8x7L" TargetMode="External"/><Relationship Id="rId84" Type="http://schemas.openxmlformats.org/officeDocument/2006/relationships/hyperlink" Target="consultantplus://offline/ref=AB764B435D0B2838FACB5213954117CAE6FA6BB2750A0E3328F9380B3CC2A53D3B7545C234440DF2746C5BBD10B2536F619F85E53675AEA7713F2C2Dg8x7L" TargetMode="External"/><Relationship Id="rId89" Type="http://schemas.openxmlformats.org/officeDocument/2006/relationships/fontTable" Target="fontTable.xml"/><Relationship Id="rId7" Type="http://schemas.openxmlformats.org/officeDocument/2006/relationships/hyperlink" Target="consultantplus://offline/ref=AB764B435D0B2838FACB5213954117CAE6FA6BB2750C00372DF8380B3CC2A53D3B7545C234440DF2746F59BC16B2536F619F85E53675AEA7713F2C2Dg8x7L" TargetMode="External"/><Relationship Id="rId71" Type="http://schemas.openxmlformats.org/officeDocument/2006/relationships/hyperlink" Target="consultantplus://offline/ref=AB764B435D0B2838FACB5213954117CAE6FA6BB2750A013429F9380B3CC2A53D3B7545C234440DF2746659B91AB2536F619F85E53675AEA7713F2C2Dg8x7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B764B435D0B2838FACB5213954117CAE6FA6BB2750A003325F3380B3CC2A53D3B7545C234440DF2746F59BC17B2536F619F85E53675AEA7713F2C2Dg8x7L" TargetMode="External"/><Relationship Id="rId29" Type="http://schemas.openxmlformats.org/officeDocument/2006/relationships/hyperlink" Target="consultantplus://offline/ref=AB764B435D0B2838FACB5213954117CAE6FA6BB2750A01322EF8380B3CC2A53D3B7545C234440DF2746F59BD17B2536F619F85E53675AEA7713F2C2Dg8x7L" TargetMode="External"/><Relationship Id="rId11" Type="http://schemas.openxmlformats.org/officeDocument/2006/relationships/hyperlink" Target="consultantplus://offline/ref=AB764B435D0B2838FACB5213954117CAE6FA6BB27C07073629F16501349BA93F3C7A1AD5330D01F3746F58BC19ED567A70C788E22F6BACBB6D3D2Eg2xDL" TargetMode="External"/><Relationship Id="rId24" Type="http://schemas.openxmlformats.org/officeDocument/2006/relationships/hyperlink" Target="consultantplus://offline/ref=AB764B435D0B2838FACB4C1E832D4AC2EDF23DBA760A0C6770AE3E5C6392A36869351B9B77071EF376715BBC10gBxBL" TargetMode="External"/><Relationship Id="rId32" Type="http://schemas.openxmlformats.org/officeDocument/2006/relationships/hyperlink" Target="consultantplus://offline/ref=AB764B435D0B2838FACB4C1E832D4AC2EAF130B97D090C6770AE3E5C6392A36869351B9B77071EF376715BBC10gBxBL" TargetMode="External"/><Relationship Id="rId37" Type="http://schemas.openxmlformats.org/officeDocument/2006/relationships/hyperlink" Target="consultantplus://offline/ref=AB764B435D0B2838FACB5213954117CAE6FA6BB2750A003325F3380B3CC2A53D3B7545C234440DF2746F5BBD14B2536F619F85E53675AEA7713F2C2Dg8x7L" TargetMode="External"/><Relationship Id="rId40" Type="http://schemas.openxmlformats.org/officeDocument/2006/relationships/hyperlink" Target="consultantplus://offline/ref=AB764B435D0B2838FACB5213954117CAE6FA6BB2750C00372DF8380B3CC2A53D3B7545C234440DF2746F5BBB16B2536F619F85E53675AEA7713F2C2Dg8x7L" TargetMode="External"/><Relationship Id="rId45" Type="http://schemas.openxmlformats.org/officeDocument/2006/relationships/hyperlink" Target="consultantplus://offline/ref=AB764B435D0B2838FACB5213954117CAE6FA6BB2750F00392CFE380B3CC2A53D3B7545C234440DF2746A51BB15B2536F619F85E53675AEA7713F2C2Dg8x7L" TargetMode="External"/><Relationship Id="rId53" Type="http://schemas.openxmlformats.org/officeDocument/2006/relationships/hyperlink" Target="consultantplus://offline/ref=AB764B435D0B2838FACB5213954117CAE6FA6BB2750A00312FF9380B3CC2A53D3B7545C234440DF2726C51B912B2536F619F85E53675AEA7713F2C2Dg8x7L" TargetMode="External"/><Relationship Id="rId58" Type="http://schemas.openxmlformats.org/officeDocument/2006/relationships/hyperlink" Target="consultantplus://offline/ref=AB764B435D0B2838FACB5213954117CAE6FA6BB2750B05342FF3380B3CC2A53D3B7545C234440DF2776D5CBA17B2536F619F85E53675AEA7713F2C2Dg8x7L" TargetMode="External"/><Relationship Id="rId66" Type="http://schemas.openxmlformats.org/officeDocument/2006/relationships/hyperlink" Target="consultantplus://offline/ref=AB764B435D0B2838FACB5213954117CAE6FA6BB2750B04352FF9380B3CC2A53D3B7545C234440DF2746F59BD12B2536F619F85E53675AEA7713F2C2Dg8x7L" TargetMode="External"/><Relationship Id="rId74" Type="http://schemas.openxmlformats.org/officeDocument/2006/relationships/hyperlink" Target="consultantplus://offline/ref=AB764B435D0B2838FACB5213954117CAE6FA6BB2750B053124F9380B3CC2A53D3B7545C234440DF2766E50BA13B2536F619F85E53675AEA7713F2C2Dg8x7L" TargetMode="External"/><Relationship Id="rId79" Type="http://schemas.openxmlformats.org/officeDocument/2006/relationships/hyperlink" Target="consultantplus://offline/ref=AB764B435D0B2838FACB5213954117CAE6FA6BB2750B053624F8380B3CC2A53D3B7545C234440DF274695DBD10B2536F619F85E53675AEA7713F2C2Dg8x7L" TargetMode="External"/><Relationship Id="rId87" Type="http://schemas.openxmlformats.org/officeDocument/2006/relationships/hyperlink" Target="consultantplus://offline/ref=AB764B435D0B2838FACB5213954117CAE6FA6BB2750A003325F3380B3CC2A53D3B7545C234440DF2746F5FBA14B2536F619F85E53675AEA7713F2C2Dg8x7L" TargetMode="External"/><Relationship Id="rId5" Type="http://schemas.openxmlformats.org/officeDocument/2006/relationships/hyperlink" Target="consultantplus://offline/ref=AB764B435D0B2838FACB5213954117CAE6FA6BB2750E0E332AFC380B3CC2A53D3B7545C234440DF2746F59BC16B2536F619F85E53675AEA7713F2C2Dg8x7L" TargetMode="External"/><Relationship Id="rId61" Type="http://schemas.openxmlformats.org/officeDocument/2006/relationships/hyperlink" Target="consultantplus://offline/ref=AB764B435D0B2838FACB5213954117CAE6FA6BB2750B04302DF3380B3CC2A53D3B7545C234440DF2746F59BD13B2536F619F85E53675AEA7713F2C2Dg8x7L" TargetMode="External"/><Relationship Id="rId82" Type="http://schemas.openxmlformats.org/officeDocument/2006/relationships/hyperlink" Target="consultantplus://offline/ref=AB764B435D0B2838FACB5213954117CAE6FA6BB2750B043128FD380B3CC2A53D3B7545C234440DF2746E5EB912B2536F619F85E53675AEA7713F2C2Dg8x7L" TargetMode="External"/><Relationship Id="rId90" Type="http://schemas.openxmlformats.org/officeDocument/2006/relationships/theme" Target="theme/theme1.xml"/><Relationship Id="rId19" Type="http://schemas.openxmlformats.org/officeDocument/2006/relationships/hyperlink" Target="consultantplus://offline/ref=AB764B435D0B2838FACB4C1E832D4AC2EFF33CBC700A0C6770AE3E5C6392A36869351B9B77071EF376715BBC10gBx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764B435D0B2838FACB5213954117CAE6FA6BB2750A003325F3380B3CC2A53D3B7545C234440DF2746F59BC16B2536F619F85E53675AEA7713F2C2Dg8x7L" TargetMode="External"/><Relationship Id="rId14" Type="http://schemas.openxmlformats.org/officeDocument/2006/relationships/hyperlink" Target="consultantplus://offline/ref=AB764B435D0B2838FACB5213954117CAE6FA6BB2750C00372DF8380B3CC2A53D3B7545C234440DF2746F59BC17B2536F619F85E53675AEA7713F2C2Dg8x7L" TargetMode="External"/><Relationship Id="rId22" Type="http://schemas.openxmlformats.org/officeDocument/2006/relationships/hyperlink" Target="consultantplus://offline/ref=AB764B435D0B2838FACB4C1E832D4AC2EFF33CBC770B0C6770AE3E5C6392A36869351B9B77071EF376715BBC10gBxBL" TargetMode="External"/><Relationship Id="rId27" Type="http://schemas.openxmlformats.org/officeDocument/2006/relationships/hyperlink" Target="consultantplus://offline/ref=AB764B435D0B2838FACB4C1E832D4AC2EDF43DBF76080C6770AE3E5C6392A36869351B9B77071EF376715BBC10gBxBL" TargetMode="External"/><Relationship Id="rId30" Type="http://schemas.openxmlformats.org/officeDocument/2006/relationships/hyperlink" Target="consultantplus://offline/ref=AB764B435D0B2838FACB5213954117CAE6FA6BB2750B063128FE380B3CC2A53D3B7545C2264455FE746847BC10A7053E27gCx8L" TargetMode="External"/><Relationship Id="rId35" Type="http://schemas.openxmlformats.org/officeDocument/2006/relationships/hyperlink" Target="consultantplus://offline/ref=AB764B435D0B2838FACB5213954117CAE6FA6BB2750D003024F2380B3CC2A53D3B7545C234440DF2746F58BE13B2536F619F85E53675AEA7713F2C2Dg8x7L" TargetMode="External"/><Relationship Id="rId43" Type="http://schemas.openxmlformats.org/officeDocument/2006/relationships/hyperlink" Target="consultantplus://offline/ref=AB764B435D0B2838FACB5213954117CAE6FA6BB2750A003325F3380B3CC2A53D3B7545C234440DF2746F5AB81BB2536F619F85E53675AEA7713F2C2Dg8x7L" TargetMode="External"/><Relationship Id="rId48" Type="http://schemas.openxmlformats.org/officeDocument/2006/relationships/hyperlink" Target="consultantplus://offline/ref=AB764B435D0B2838FACB5213954117CAE6FA6BB2750B05312CF3380B3CC2A53D3B7545C234440DF2766D58B814B2536F619F85E53675AEA7713F2C2Dg8x7L" TargetMode="External"/><Relationship Id="rId56" Type="http://schemas.openxmlformats.org/officeDocument/2006/relationships/hyperlink" Target="consultantplus://offline/ref=AB764B435D0B2838FACB5213954117CAE6FA6BB2750B043128F2380B3CC2A53D3B7545C234440DF2716E5CBE16B2536F619F85E53675AEA7713F2C2Dg8x7L" TargetMode="External"/><Relationship Id="rId64" Type="http://schemas.openxmlformats.org/officeDocument/2006/relationships/hyperlink" Target="consultantplus://offline/ref=AB764B435D0B2838FACB5213954117CAE6FA6BB2750B06372CF2380B3CC2A53D3B7545C234440DF2746F59BD13B2536F619F85E53675AEA7713F2C2Dg8x7L" TargetMode="External"/><Relationship Id="rId69" Type="http://schemas.openxmlformats.org/officeDocument/2006/relationships/hyperlink" Target="consultantplus://offline/ref=AB764B435D0B2838FACB5213954117CAE6FA6BB2750B04372FF3380B3CC2A53D3B7545C234440DF2766850BF15B2536F619F85E53675AEA7713F2C2Dg8x7L" TargetMode="External"/><Relationship Id="rId77" Type="http://schemas.openxmlformats.org/officeDocument/2006/relationships/hyperlink" Target="consultantplus://offline/ref=AB764B435D0B2838FACB5213954117CAE6FA6BB2750B053328FE380B3CC2A53D3B7545C234440DF274665BB810B2536F619F85E53675AEA7713F2C2Dg8x7L" TargetMode="External"/><Relationship Id="rId8" Type="http://schemas.openxmlformats.org/officeDocument/2006/relationships/hyperlink" Target="consultantplus://offline/ref=AB764B435D0B2838FACB5213954117CAE6FA6BB2750D003024F2380B3CC2A53D3B7545C234440DF2746F59BC16B2536F619F85E53675AEA7713F2C2Dg8x7L" TargetMode="External"/><Relationship Id="rId51" Type="http://schemas.openxmlformats.org/officeDocument/2006/relationships/hyperlink" Target="consultantplus://offline/ref=AB764B435D0B2838FACB5213954117CAE6FA6BB2750B06362DF9380B3CC2A53D3B7545C234440DF2746F59BD12B2536F619F85E53675AEA7713F2C2Dg8x7L" TargetMode="External"/><Relationship Id="rId72" Type="http://schemas.openxmlformats.org/officeDocument/2006/relationships/hyperlink" Target="consultantplus://offline/ref=AB764B435D0B2838FACB5213954117CAE6FA6BB2750A013429F9380B3CC2A53D3B7545C234440DF2746659B91AB2536F619F85E53675AEA7713F2C2Dg8x7L" TargetMode="External"/><Relationship Id="rId80" Type="http://schemas.openxmlformats.org/officeDocument/2006/relationships/hyperlink" Target="consultantplus://offline/ref=AB764B435D0B2838FACB5213954117CAE6FA6BB2750B053624F8380B3CC2A53D3B7545C234440DF274695DBD10B2536F619F85E53675AEA7713F2C2Dg8x7L" TargetMode="External"/><Relationship Id="rId85" Type="http://schemas.openxmlformats.org/officeDocument/2006/relationships/hyperlink" Target="consultantplus://offline/ref=AB764B435D0B2838FACB5213954117CAE6FA6BB2750A0E382FF3380B3CC2A53D3B7545C234440DF2746F59BD12B2536F619F85E53675AEA7713F2C2Dg8x7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B764B435D0B2838FACB5213954117CAE6FA6BB2750E0E332AFC380B3CC2A53D3B7545C234440DF2746F59BC17B2536F619F85E53675AEA7713F2C2Dg8x7L" TargetMode="External"/><Relationship Id="rId17" Type="http://schemas.openxmlformats.org/officeDocument/2006/relationships/hyperlink" Target="consultantplus://offline/ref=AB764B435D0B2838FACB4C1E832D4AC2EAF337BE750C0C6770AE3E5C6392A3687B3543957F0302F8203E1DE91FB9002025C896E73169gAxCL" TargetMode="External"/><Relationship Id="rId25" Type="http://schemas.openxmlformats.org/officeDocument/2006/relationships/hyperlink" Target="consultantplus://offline/ref=AB764B435D0B2838FACB4C1E832D4AC2EFF235BA75080C6770AE3E5C6392A36869351B9B77071EF376715BBC10gBxBL" TargetMode="External"/><Relationship Id="rId33" Type="http://schemas.openxmlformats.org/officeDocument/2006/relationships/hyperlink" Target="consultantplus://offline/ref=AB764B435D0B2838FACB5213954117CAE6FA6BB2750D003024F2380B3CC2A53D3B7545C234440DF2746F59BC14B2536F619F85E53675AEA7713F2C2Dg8x7L" TargetMode="External"/><Relationship Id="rId38" Type="http://schemas.openxmlformats.org/officeDocument/2006/relationships/hyperlink" Target="consultantplus://offline/ref=AB764B435D0B2838FACB5213954117CAE6FA6BB2750A003325F3380B3CC2A53D3B7545C234440DF2746F5BBB11B2536F619F85E53675AEA7713F2C2Dg8x7L" TargetMode="External"/><Relationship Id="rId46" Type="http://schemas.openxmlformats.org/officeDocument/2006/relationships/hyperlink" Target="consultantplus://offline/ref=AB764B435D0B2838FACB5213954117CAE6FA6BB2750F00362FF8380B3CC2A53D3B7545C234440DF275695CBB12B2536F619F85E53675AEA7713F2C2Dg8x7L" TargetMode="External"/><Relationship Id="rId59" Type="http://schemas.openxmlformats.org/officeDocument/2006/relationships/hyperlink" Target="consultantplus://offline/ref=AB764B435D0B2838FACB5213954117CAE6FA6BB2750E0E322BFD380B3CC2A53D3B7545C234440DF2746F59BC1BB2536F619F85E53675AEA7713F2C2Dg8x7L" TargetMode="External"/><Relationship Id="rId67" Type="http://schemas.openxmlformats.org/officeDocument/2006/relationships/hyperlink" Target="consultantplus://offline/ref=AB764B435D0B2838FACB5213954117CAE6FA6BB2750F00362FFD380B3CC2A53D3B7545C234440DF2746F59BC1BB2536F619F85E53675AEA7713F2C2Dg8x7L" TargetMode="External"/><Relationship Id="rId20" Type="http://schemas.openxmlformats.org/officeDocument/2006/relationships/hyperlink" Target="consultantplus://offline/ref=AB764B435D0B2838FACB4C1E832D4AC2EFF33CBC700B0C6770AE3E5C6392A36869351B9B77071EF376715BBC10gBxBL" TargetMode="External"/><Relationship Id="rId41" Type="http://schemas.openxmlformats.org/officeDocument/2006/relationships/hyperlink" Target="consultantplus://offline/ref=AB764B435D0B2838FACB5213954117CAE6FA6BB2750C00372DF8380B3CC2A53D3B7545C234440DF2746F5BBB17B2536F619F85E53675AEA7713F2C2Dg8x7L" TargetMode="External"/><Relationship Id="rId54" Type="http://schemas.openxmlformats.org/officeDocument/2006/relationships/hyperlink" Target="consultantplus://offline/ref=AB764B435D0B2838FACB5213954117CAE6FA6BB2750A00312FF9380B3CC2A53D3B7545C234440DF2726C51B912B2536F619F85E53675AEA7713F2C2Dg8x7L" TargetMode="External"/><Relationship Id="rId62" Type="http://schemas.openxmlformats.org/officeDocument/2006/relationships/hyperlink" Target="consultantplus://offline/ref=AB764B435D0B2838FACB5213954117CAE6FA6BB2750B06362DF9380B3CC2A53D3B7545C234440DF2746F59BD12B2536F619F85E53675AEA7713F2C2Dg8x7L" TargetMode="External"/><Relationship Id="rId70" Type="http://schemas.openxmlformats.org/officeDocument/2006/relationships/hyperlink" Target="consultantplus://offline/ref=AB764B435D0B2838FACB5213954117CAE6FA6BB2750B04372FF3380B3CC2A53D3B7545C234440DF2766850BF15B2536F619F85E53675AEA7713F2C2Dg8x7L" TargetMode="External"/><Relationship Id="rId75" Type="http://schemas.openxmlformats.org/officeDocument/2006/relationships/hyperlink" Target="consultantplus://offline/ref=AB764B435D0B2838FACB5213954117CAE6FA6BB2750B04312DF8380B3CC2A53D3B7545C234440DF2746F59BD12B2536F619F85E53675AEA7713F2C2Dg8x7L" TargetMode="External"/><Relationship Id="rId83" Type="http://schemas.openxmlformats.org/officeDocument/2006/relationships/hyperlink" Target="consultantplus://offline/ref=AB764B435D0B2838FACB5213954117CAE6FA6BB2750A0E3328F9380B3CC2A53D3B7545C234440DF2746C5BBD10B2536F619F85E53675AEA7713F2C2Dg8x7L" TargetMode="External"/><Relationship Id="rId88" Type="http://schemas.openxmlformats.org/officeDocument/2006/relationships/hyperlink" Target="consultantplus://offline/ref=AB764B435D0B2838FACB5213954117CAE6FA6BB2750A003325F3380B3CC2A53D3B7545C234440DF2746F5EBD16B2536F619F85E53675AEA7713F2C2Dg8x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764B435D0B2838FACB5213954117CAE6FA6BB2750F0F332FFF380B3CC2A53D3B7545C234440DF2746F59BC16B2536F619F85E53675AEA7713F2C2Dg8x7L" TargetMode="External"/><Relationship Id="rId15" Type="http://schemas.openxmlformats.org/officeDocument/2006/relationships/hyperlink" Target="consultantplus://offline/ref=AB764B435D0B2838FACB5213954117CAE6FA6BB2750D003024F2380B3CC2A53D3B7545C234440DF2746F59BC17B2536F619F85E53675AEA7713F2C2Dg8x7L" TargetMode="External"/><Relationship Id="rId23" Type="http://schemas.openxmlformats.org/officeDocument/2006/relationships/hyperlink" Target="consultantplus://offline/ref=AB764B435D0B2838FACB4C1E832D4AC2EFF33CBC77080C6770AE3E5C6392A36869351B9B77071EF376715BBC10gBxBL" TargetMode="External"/><Relationship Id="rId28" Type="http://schemas.openxmlformats.org/officeDocument/2006/relationships/hyperlink" Target="consultantplus://offline/ref=AB764B435D0B2838FACB4C1E832D4AC2EDF432B676090C6770AE3E5C6392A36869351B9B77071EF376715BBC10gBxBL" TargetMode="External"/><Relationship Id="rId36" Type="http://schemas.openxmlformats.org/officeDocument/2006/relationships/hyperlink" Target="consultantplus://offline/ref=AB764B435D0B2838FACB5213954117CAE6FA6BB2750A003325F3380B3CC2A53D3B7545C234440DF2746F58BD1BB2536F619F85E53675AEA7713F2C2Dg8x7L" TargetMode="External"/><Relationship Id="rId49" Type="http://schemas.openxmlformats.org/officeDocument/2006/relationships/hyperlink" Target="consultantplus://offline/ref=AB764B435D0B2838FACB5213954117CAE6FA6BB2750B05312CF3380B3CC2A53D3B7545C234440DF2766D58B814B2536F619F85E53675AEA7713F2C2Dg8x7L" TargetMode="External"/><Relationship Id="rId57" Type="http://schemas.openxmlformats.org/officeDocument/2006/relationships/hyperlink" Target="consultantplus://offline/ref=AB764B435D0B2838FACB5213954117CAE6FA6BB2750B05342FF3380B3CC2A53D3B7545C234440DF2776D5CBA17B2536F619F85E53675AEA7713F2C2Dg8x7L" TargetMode="External"/><Relationship Id="rId10" Type="http://schemas.openxmlformats.org/officeDocument/2006/relationships/hyperlink" Target="consultantplus://offline/ref=AB764B435D0B2838FACB4C1E832D4AC2EAF337BE750C0C6770AE3E5C6392A3687B3543957F0302F8203E1DE91FB9002025C896E73169gAxCL" TargetMode="External"/><Relationship Id="rId31" Type="http://schemas.openxmlformats.org/officeDocument/2006/relationships/hyperlink" Target="consultantplus://offline/ref=AB764B435D0B2838FACB5213954117CAE6FA6BB2750F033828FE380B3CC2A53D3B7545C2264455FE746847BC10A7053E27gCx8L" TargetMode="External"/><Relationship Id="rId44" Type="http://schemas.openxmlformats.org/officeDocument/2006/relationships/hyperlink" Target="consultantplus://offline/ref=AB764B435D0B2838FACB5213954117CAE6FA6BB2750A003325F3380B3CC2A53D3B7545C234440DF2746F5DBD17B2536F619F85E53675AEA7713F2C2Dg8x7L" TargetMode="External"/><Relationship Id="rId52" Type="http://schemas.openxmlformats.org/officeDocument/2006/relationships/hyperlink" Target="consultantplus://offline/ref=AB764B435D0B2838FACB5213954117CAE6FA6BB2750D01352CF3380B3CC2A53D3B7545C234440DF2766B5CBE16B2536F619F85E53675AEA7713F2C2Dg8x7L" TargetMode="External"/><Relationship Id="rId60" Type="http://schemas.openxmlformats.org/officeDocument/2006/relationships/hyperlink" Target="consultantplus://offline/ref=AB764B435D0B2838FACB5213954117CAE6FA6BB2750B053628FA380B3CC2A53D3B7545C234440DF2746F59BD13B2536F619F85E53675AEA7713F2C2Dg8x7L" TargetMode="External"/><Relationship Id="rId65" Type="http://schemas.openxmlformats.org/officeDocument/2006/relationships/hyperlink" Target="consultantplus://offline/ref=AB764B435D0B2838FACB5213954117CAE6FA6BB2750B04302FF8380B3CC2A53D3B7545C234440DF2746F59BD13B2536F619F85E53675AEA7713F2C2Dg8x7L" TargetMode="External"/><Relationship Id="rId73" Type="http://schemas.openxmlformats.org/officeDocument/2006/relationships/hyperlink" Target="consultantplus://offline/ref=AB764B435D0B2838FACB5213954117CAE6FA6BB2750B053124F9380B3CC2A53D3B7545C234440DF2766E50BA13B2536F619F85E53675AEA7713F2C2Dg8x7L" TargetMode="External"/><Relationship Id="rId78" Type="http://schemas.openxmlformats.org/officeDocument/2006/relationships/hyperlink" Target="consultantplus://offline/ref=AB764B435D0B2838FACB5213954117CAE6FA6BB2750B053328FE380B3CC2A53D3B7545C234440DF274665BB810B2536F619F85E53675AEA7713F2C2Dg8x7L" TargetMode="External"/><Relationship Id="rId81" Type="http://schemas.openxmlformats.org/officeDocument/2006/relationships/hyperlink" Target="consultantplus://offline/ref=AB764B435D0B2838FACB5213954117CAE6FA6BB2750B043128FD380B3CC2A53D3B7545C234440DF2746E5EB912B2536F619F85E53675AEA7713F2C2Dg8x7L" TargetMode="External"/><Relationship Id="rId86" Type="http://schemas.openxmlformats.org/officeDocument/2006/relationships/hyperlink" Target="consultantplus://offline/ref=AB764B435D0B2838FACB5213954117CAE6FA6BB2750A003325F3380B3CC2A53D3B7545C234440DF2746F5DBA16B2536F619F85E53675AEA7713F2C2Dg8x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6806</Words>
  <Characters>38796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2022-02-07T11:49:00Z</dcterms:created>
  <dcterms:modified xsi:type="dcterms:W3CDTF">2022-02-07T11:51:00Z</dcterms:modified>
</cp:coreProperties>
</file>