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3FF" w:rsidRPr="00B433FF" w:rsidRDefault="00B433FF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от 24 октября 2019 г. N 746-П</w:t>
      </w:r>
    </w:p>
    <w:p w:rsidR="00B433FF" w:rsidRPr="00B433FF" w:rsidRDefault="00B433FF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ОБ УТВЕРЖДЕНИИ ПОЛОЖЕНИЯ О ПОРЯДКЕ ФОРМИРОВАНИЯ</w:t>
      </w: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ПЕРЕЧНЯ НАЛОГОВЫХ РАСХОДОВ САРАТОВСКОЙ ОБЛАСТИ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B433FF">
          <w:rPr>
            <w:rFonts w:ascii="Times New Roman" w:hAnsi="Times New Roman" w:cs="Times New Roman"/>
            <w:sz w:val="24"/>
            <w:szCs w:val="24"/>
          </w:rPr>
          <w:t>пунктом 1 статьи 174.3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Правительство Саратовской области постановляет: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28" w:history="1">
        <w:r w:rsidRPr="00B433FF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о порядке формирования перечня налоговых расходов Саратовской области.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433F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33F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Председателя Правительства области - министра финансов области </w:t>
      </w:r>
      <w:proofErr w:type="spellStart"/>
      <w:r w:rsidRPr="00B433FF">
        <w:rPr>
          <w:rFonts w:ascii="Times New Roman" w:hAnsi="Times New Roman" w:cs="Times New Roman"/>
          <w:sz w:val="24"/>
          <w:szCs w:val="24"/>
        </w:rPr>
        <w:t>Ойкина</w:t>
      </w:r>
      <w:proofErr w:type="spellEnd"/>
      <w:r w:rsidRPr="00B433FF">
        <w:rPr>
          <w:rFonts w:ascii="Times New Roman" w:hAnsi="Times New Roman" w:cs="Times New Roman"/>
          <w:sz w:val="24"/>
          <w:szCs w:val="24"/>
        </w:rPr>
        <w:t xml:space="preserve"> В.Г.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Вице-губернатор Саратовской области -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Председатель Правительства Саратовской области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А.М.СТРЕЛЮХИН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Утверждено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от 24 октября 2019 г. N 746-П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"/>
      <w:bookmarkEnd w:id="0"/>
      <w:r w:rsidRPr="00B433FF">
        <w:rPr>
          <w:rFonts w:ascii="Times New Roman" w:hAnsi="Times New Roman" w:cs="Times New Roman"/>
          <w:sz w:val="24"/>
          <w:szCs w:val="24"/>
        </w:rPr>
        <w:t>ПОЛОЖЕНИЕ</w:t>
      </w: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О ПОРЯДКЕ ФОРМИРОВАНИЯ ПЕРЕЧНЯ НАЛОГОВЫХ РАСХОДОВ</w:t>
      </w: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1. Понятия, используемые в настоящем Положении: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33FF">
        <w:rPr>
          <w:rFonts w:ascii="Times New Roman" w:hAnsi="Times New Roman" w:cs="Times New Roman"/>
          <w:sz w:val="24"/>
          <w:szCs w:val="24"/>
        </w:rPr>
        <w:t>куратор налогового расхода Саратовской области - орган исполнительной власти области, ответственный в соответствии с полномочиями, установленными нормативными правовыми актами области, за достижение соответствующих налоговому расходу Саратовской области целей государственной программы Саратовской области и (или) целей социально-экономической политики Саратовской области, не относящихся к государственным программам Саратовской области, и (или) орган исполнительной власти области, инициирующий установление налоговых расходов Саратовской области;</w:t>
      </w:r>
      <w:proofErr w:type="gramEnd"/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2" w:history="1">
        <w:r w:rsidRPr="00B433FF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налоговых расходов Саратовской области (приложение N 1 к Положению) - перечень, содержащий сведения о распределении налоговых расходов Саратовской области в соответствии с целями государственных программ (структурных элементов государственных программ) Саратовской области и (или) целями социально-экономической политики Саратовской области, не относящимися к государственным программам Саратовской области, кураторах налоговых расходов Саратовской области.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"/>
      <w:bookmarkEnd w:id="1"/>
      <w:r w:rsidRPr="00B433FF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433FF">
        <w:rPr>
          <w:rFonts w:ascii="Times New Roman" w:hAnsi="Times New Roman" w:cs="Times New Roman"/>
          <w:sz w:val="24"/>
          <w:szCs w:val="24"/>
        </w:rPr>
        <w:t>Проект перечня налоговых расходов Саратовской области на очередной финансовый год и плановый период (далее - проект перечня налоговых расходов) формируется министерством финансов области до 1 декабря текущего года и направляется на согласование ответственным исполнителям государственных программ Саратовской области, министерству экономического развития области, а также органам исполнительной власти области, которых проектом перечня налоговых расходов предлагается закрепить в качестве куратора налоговых расходов Саратовской</w:t>
      </w:r>
      <w:proofErr w:type="gramEnd"/>
      <w:r w:rsidRPr="00B433FF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6"/>
      <w:bookmarkEnd w:id="2"/>
      <w:r w:rsidRPr="00B433F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B433FF">
        <w:rPr>
          <w:rFonts w:ascii="Times New Roman" w:hAnsi="Times New Roman" w:cs="Times New Roman"/>
          <w:sz w:val="24"/>
          <w:szCs w:val="24"/>
        </w:rPr>
        <w:t xml:space="preserve">Органы исполнительной власти области, указанные в </w:t>
      </w:r>
      <w:hyperlink w:anchor="P35" w:history="1">
        <w:r w:rsidRPr="00B433FF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настоящего Положения, в срок до 10 декабря текущего года рассматривают проект перечня налоговых расходов на предмет соответствия целей налоговых расходов Саратовской области целям государственных программ (структурным элементам государственных программ) Саратовской области и (или) целям социально-экономического развития Саратовской области, не относящимся к государственным программам (структурным элементам государственных программ) Саратовской области, и информируют министерство</w:t>
      </w:r>
      <w:proofErr w:type="gramEnd"/>
      <w:r w:rsidRPr="00B433FF">
        <w:rPr>
          <w:rFonts w:ascii="Times New Roman" w:hAnsi="Times New Roman" w:cs="Times New Roman"/>
          <w:sz w:val="24"/>
          <w:szCs w:val="24"/>
        </w:rPr>
        <w:t xml:space="preserve"> финансов области о согласовании проекта перечня налоговых расходов.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33FF">
        <w:rPr>
          <w:rFonts w:ascii="Times New Roman" w:hAnsi="Times New Roman" w:cs="Times New Roman"/>
          <w:sz w:val="24"/>
          <w:szCs w:val="24"/>
        </w:rPr>
        <w:t xml:space="preserve">В случае несогласия с распределением налоговых расходов кураторы налоговых расходов Саратовской области в срок, указанный в </w:t>
      </w:r>
      <w:hyperlink w:anchor="P36" w:history="1">
        <w:r w:rsidRPr="00B433FF">
          <w:rPr>
            <w:rFonts w:ascii="Times New Roman" w:hAnsi="Times New Roman" w:cs="Times New Roman"/>
            <w:sz w:val="24"/>
            <w:szCs w:val="24"/>
          </w:rPr>
          <w:t>части первой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настоящего пункта, направляют в министерство финансов области предложения по уточнению распределения с указанием цели государственной программы (структурных элементов государственной программы) Саратовской области и (или) цели социально-экономического развития Саратовской области, а также по изменению кураторов налоговых расходов Саратовской области, к которым необходимо отнести</w:t>
      </w:r>
      <w:proofErr w:type="gramEnd"/>
      <w:r w:rsidRPr="00B433FF">
        <w:rPr>
          <w:rFonts w:ascii="Times New Roman" w:hAnsi="Times New Roman" w:cs="Times New Roman"/>
          <w:sz w:val="24"/>
          <w:szCs w:val="24"/>
        </w:rPr>
        <w:t xml:space="preserve"> налоговые расходы Саратовской области. Предложения по изменению куратора налоговых расходов Саратовской области должны быть согласованы с предлагаемым куратором налоговых расходов Саратовской области.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lastRenderedPageBreak/>
        <w:t xml:space="preserve">В случае если результаты рассмотрения не направлены в министерство финансов области в течение срока, указанного в </w:t>
      </w:r>
      <w:hyperlink w:anchor="P36" w:history="1">
        <w:r w:rsidRPr="00B433FF">
          <w:rPr>
            <w:rFonts w:ascii="Times New Roman" w:hAnsi="Times New Roman" w:cs="Times New Roman"/>
            <w:sz w:val="24"/>
            <w:szCs w:val="24"/>
          </w:rPr>
          <w:t>части первой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настоящего пункта, проект перечня налоговых расходов считается согласованным.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 xml:space="preserve">4. После завершения процедур, указанных в </w:t>
      </w:r>
      <w:hyperlink w:anchor="P36" w:history="1">
        <w:r w:rsidRPr="00B433FF">
          <w:rPr>
            <w:rFonts w:ascii="Times New Roman" w:hAnsi="Times New Roman" w:cs="Times New Roman"/>
            <w:sz w:val="24"/>
            <w:szCs w:val="24"/>
          </w:rPr>
          <w:t>пункте 3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настоящего Положения, перечень налоговых расходов Саратовской области считается сформированным и размещается на официальном сайте министерства финансов области в информационно-телекоммуникационной сети Интернет не позднее 15 января очередного финансового года.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B433FF">
        <w:rPr>
          <w:rFonts w:ascii="Times New Roman" w:hAnsi="Times New Roman" w:cs="Times New Roman"/>
          <w:sz w:val="24"/>
          <w:szCs w:val="24"/>
        </w:rPr>
        <w:t xml:space="preserve">В случае внесения в текущем финансовом году изменений в государственные программы (структурные элементы государственных программ) Саратовской области и (или) в случае изменения полномочий органов, указанных в </w:t>
      </w:r>
      <w:hyperlink w:anchor="P35" w:history="1">
        <w:r w:rsidRPr="00B433FF">
          <w:rPr>
            <w:rFonts w:ascii="Times New Roman" w:hAnsi="Times New Roman" w:cs="Times New Roman"/>
            <w:sz w:val="24"/>
            <w:szCs w:val="24"/>
          </w:rPr>
          <w:t>пункте 2</w:t>
        </w:r>
      </w:hyperlink>
      <w:r w:rsidRPr="00B433FF">
        <w:rPr>
          <w:rFonts w:ascii="Times New Roman" w:hAnsi="Times New Roman" w:cs="Times New Roman"/>
          <w:sz w:val="24"/>
          <w:szCs w:val="24"/>
        </w:rPr>
        <w:t xml:space="preserve"> настоящего Положения, в связи с которыми возникает необходимость внесения изменений в перечень налоговых расходов Саратовской области, кураторы налоговых расходов Саратовской области не позднее 10 рабочих дней со дня внесения соответствующих изменений направляют</w:t>
      </w:r>
      <w:proofErr w:type="gramEnd"/>
      <w:r w:rsidRPr="00B433FF">
        <w:rPr>
          <w:rFonts w:ascii="Times New Roman" w:hAnsi="Times New Roman" w:cs="Times New Roman"/>
          <w:sz w:val="24"/>
          <w:szCs w:val="24"/>
        </w:rPr>
        <w:t xml:space="preserve"> в министерство финансов области соответствующую информацию для уточнения перечня налоговых расходов Саратовской области.</w:t>
      </w:r>
    </w:p>
    <w:p w:rsidR="00B433FF" w:rsidRPr="00B433FF" w:rsidRDefault="00B433F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 xml:space="preserve">6. </w:t>
      </w:r>
      <w:hyperlink w:anchor="P145" w:history="1">
        <w:r w:rsidRPr="00B433FF">
          <w:rPr>
            <w:rFonts w:ascii="Times New Roman" w:hAnsi="Times New Roman" w:cs="Times New Roman"/>
            <w:sz w:val="24"/>
            <w:szCs w:val="24"/>
          </w:rPr>
          <w:t>Информация</w:t>
        </w:r>
      </w:hyperlink>
      <w:r w:rsidRPr="00B433FF">
        <w:rPr>
          <w:rFonts w:ascii="Times New Roman" w:hAnsi="Times New Roman" w:cs="Times New Roman"/>
          <w:sz w:val="24"/>
          <w:szCs w:val="24"/>
        </w:rPr>
        <w:t>, включаемая в перечень налоговых расходов Саратовской области, определяется в соответствии с приложением N 2 к Положению.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B433FF" w:rsidSect="006C14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433FF" w:rsidRPr="00B433FF" w:rsidRDefault="00B433F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к Положению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о порядке формирования перечня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налоговых расходов Саратовской области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52"/>
      <w:bookmarkEnd w:id="3"/>
      <w:r w:rsidRPr="00B433FF">
        <w:rPr>
          <w:rFonts w:ascii="Times New Roman" w:hAnsi="Times New Roman" w:cs="Times New Roman"/>
          <w:sz w:val="24"/>
          <w:szCs w:val="24"/>
        </w:rPr>
        <w:t>Перечень</w:t>
      </w:r>
    </w:p>
    <w:p w:rsidR="00B433FF" w:rsidRPr="00B433FF" w:rsidRDefault="00B433F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налоговых расходов Саратовской области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633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851"/>
        <w:gridCol w:w="1276"/>
        <w:gridCol w:w="1134"/>
        <w:gridCol w:w="709"/>
        <w:gridCol w:w="992"/>
        <w:gridCol w:w="992"/>
        <w:gridCol w:w="992"/>
        <w:gridCol w:w="851"/>
        <w:gridCol w:w="709"/>
        <w:gridCol w:w="1275"/>
        <w:gridCol w:w="993"/>
        <w:gridCol w:w="992"/>
        <w:gridCol w:w="992"/>
        <w:gridCol w:w="1418"/>
        <w:gridCol w:w="1446"/>
      </w:tblGrid>
      <w:tr w:rsidR="00B433FF" w:rsidRPr="00B433FF" w:rsidTr="00B433FF">
        <w:tc>
          <w:tcPr>
            <w:tcW w:w="709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Наименование налога, по которому предусматривается налоговый расход</w:t>
            </w: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Наименование налогового расхода (содержание налоговой льготы, освобождения или иной преференции)</w:t>
            </w:r>
          </w:p>
        </w:tc>
        <w:tc>
          <w:tcPr>
            <w:tcW w:w="1276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Куратор налогового расхода - орган исполнительной власти области</w:t>
            </w:r>
          </w:p>
        </w:tc>
        <w:tc>
          <w:tcPr>
            <w:tcW w:w="1134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Нормативный правовой акт, в соответствии с которым установлен налоговый расход</w:t>
            </w: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Категории получателей налогового расхода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Условия предоставления налогового расхода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Целевая категория налогового расхода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Дата начала действия налогового расхода</w:t>
            </w: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Дата прекращения действия налогового расхода</w:t>
            </w: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Цели предоставления налогового расхода</w:t>
            </w:r>
          </w:p>
        </w:tc>
        <w:tc>
          <w:tcPr>
            <w:tcW w:w="1275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Наименование государственной программы Саратовской области, в рамках которой реализуются цели предоставления налогового расхода</w:t>
            </w:r>
          </w:p>
        </w:tc>
        <w:tc>
          <w:tcPr>
            <w:tcW w:w="993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Наименования структурных элементов государственной программы Саратовской области, в рамках которых реализуются цели предоставления налогового расхода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Цель (направление) социально-экономической политики Саратовской области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Показатели (индикаторы) достижения целей предоставления налогового расхода, в том числе показатели государственной программы Саратовской области и ее структурных элементов</w:t>
            </w:r>
          </w:p>
        </w:tc>
        <w:tc>
          <w:tcPr>
            <w:tcW w:w="1418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государственной программы Саратовской области и ее структурных элементов, на текущий финансовый год</w:t>
            </w:r>
          </w:p>
        </w:tc>
        <w:tc>
          <w:tcPr>
            <w:tcW w:w="1446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Плановые значения показателей (индикаторов) достижения целей предоставления налогового расхода, в том числе показателей государственной программы Саратовской области и ее структурных элементов на очередной финансовый год и на плановый период</w:t>
            </w:r>
          </w:p>
        </w:tc>
      </w:tr>
      <w:tr w:rsidR="00B433FF" w:rsidRPr="00B433FF" w:rsidTr="00B433FF">
        <w:tc>
          <w:tcPr>
            <w:tcW w:w="709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3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18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46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3F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B433FF" w:rsidRPr="00B433FF" w:rsidTr="00B433FF"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33FF" w:rsidRPr="00B433FF" w:rsidTr="00B433FF"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33FF" w:rsidRPr="00B433FF" w:rsidTr="00B433FF"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433FF" w:rsidRPr="00B433FF" w:rsidRDefault="00B433FF">
      <w:pPr>
        <w:rPr>
          <w:rFonts w:ascii="Times New Roman" w:hAnsi="Times New Roman" w:cs="Times New Roman"/>
          <w:sz w:val="24"/>
          <w:szCs w:val="24"/>
        </w:rPr>
        <w:sectPr w:rsidR="00B433FF" w:rsidRPr="00B433FF" w:rsidSect="00B433FF">
          <w:pgSz w:w="16838" w:h="11905" w:orient="landscape"/>
          <w:pgMar w:top="851" w:right="1134" w:bottom="850" w:left="1134" w:header="0" w:footer="0" w:gutter="0"/>
          <w:cols w:space="720"/>
        </w:sect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B433FF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к Положению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о порядке формирования перечня</w:t>
      </w:r>
    </w:p>
    <w:p w:rsidR="00B433FF" w:rsidRPr="00B433FF" w:rsidRDefault="00B433F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33FF">
        <w:rPr>
          <w:rFonts w:ascii="Times New Roman" w:hAnsi="Times New Roman" w:cs="Times New Roman"/>
          <w:sz w:val="24"/>
          <w:szCs w:val="24"/>
        </w:rPr>
        <w:t>налоговых расходов Саратовской области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45"/>
      <w:bookmarkEnd w:id="5"/>
      <w:r w:rsidRPr="00B433FF">
        <w:rPr>
          <w:rFonts w:ascii="Times New Roman" w:hAnsi="Times New Roman" w:cs="Times New Roman"/>
          <w:sz w:val="24"/>
          <w:szCs w:val="24"/>
        </w:rPr>
        <w:t>ИНФОРМАЦИЯ,</w:t>
      </w:r>
    </w:p>
    <w:p w:rsidR="00B433FF" w:rsidRPr="00B433FF" w:rsidRDefault="00B433F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433FF">
        <w:rPr>
          <w:rFonts w:ascii="Times New Roman" w:hAnsi="Times New Roman" w:cs="Times New Roman"/>
          <w:sz w:val="24"/>
          <w:szCs w:val="24"/>
        </w:rPr>
        <w:t>ВКЛЮЧАЕМАЯ</w:t>
      </w:r>
      <w:proofErr w:type="gramEnd"/>
      <w:r w:rsidRPr="00B433FF">
        <w:rPr>
          <w:rFonts w:ascii="Times New Roman" w:hAnsi="Times New Roman" w:cs="Times New Roman"/>
          <w:sz w:val="24"/>
          <w:szCs w:val="24"/>
        </w:rPr>
        <w:t xml:space="preserve"> В ПЕРЕЧЕНЬ НАЛОГОВЫХ РАСХОДОВ САРАТОВСКОЙ ОБЛАСТИ</w:t>
      </w: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159"/>
        <w:gridCol w:w="3402"/>
      </w:tblGrid>
      <w:tr w:rsidR="00B433FF" w:rsidRPr="00B433FF">
        <w:tc>
          <w:tcPr>
            <w:tcW w:w="5669" w:type="dxa"/>
            <w:gridSpan w:val="2"/>
            <w:vAlign w:val="center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Источник данных</w:t>
            </w:r>
          </w:p>
        </w:tc>
      </w:tr>
      <w:tr w:rsidR="00B433FF" w:rsidRPr="00B433FF">
        <w:tc>
          <w:tcPr>
            <w:tcW w:w="9071" w:type="dxa"/>
            <w:gridSpan w:val="3"/>
          </w:tcPr>
          <w:p w:rsidR="00B433FF" w:rsidRPr="00B433FF" w:rsidRDefault="00B433F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I. Нормативные характеристики налогового расхода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Наименование налога, по которому предусматривается налоговый расход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 (содержание налоговой льготы, освобождения или иной преференции)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 налогового расхода - орган исполнительной власти области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 области в соответствии с Положением о порядке формирования перечня налоговых расходов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акт, в соответствии с которым установлен налоговый расход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Категории получателей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данные куратора налогового расхода (далее - куратор)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Дата прекращения действия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закон Саратовской области</w:t>
            </w:r>
          </w:p>
        </w:tc>
      </w:tr>
      <w:tr w:rsidR="00B433FF" w:rsidRPr="00B433FF">
        <w:tc>
          <w:tcPr>
            <w:tcW w:w="9071" w:type="dxa"/>
            <w:gridSpan w:val="3"/>
          </w:tcPr>
          <w:p w:rsidR="00B433FF" w:rsidRPr="00B433FF" w:rsidRDefault="00B433F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II. Целевые характеристики налогового расхода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Цели предоставления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 Саратовской области, в рамках которой реализуются цели предоставления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Наименования структурных элементов государственной программы Саратовской области, в рамках которых реализуются цели предоставления налогового расхода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Цель (направление) социально-экономической политики Саратовской области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достижения целей предоставления налогового расхода, в том числе показатели государственной программы Саратовской области и ее структурных элементов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государственной программы Саратовской области и ее структурных элементов на текущий финансовый год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433FF" w:rsidRPr="00B433FF">
        <w:tc>
          <w:tcPr>
            <w:tcW w:w="510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59" w:type="dxa"/>
          </w:tcPr>
          <w:p w:rsidR="00B433FF" w:rsidRPr="00B433FF" w:rsidRDefault="00B43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показателей (индикаторов) достижения целей предоставления налогового расхода, в том числе показателей государственной программы Саратовской области и ее структурных элементов на очередной финансовый год и на плановый период</w:t>
            </w:r>
          </w:p>
        </w:tc>
        <w:tc>
          <w:tcPr>
            <w:tcW w:w="3402" w:type="dxa"/>
          </w:tcPr>
          <w:p w:rsidR="00B433FF" w:rsidRPr="00B433FF" w:rsidRDefault="00B43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3FF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</w:tbl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3FF" w:rsidRPr="00B433FF" w:rsidRDefault="00B433F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B433FF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B433FF" w:rsidSect="0079403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FF"/>
    <w:rsid w:val="006C4724"/>
    <w:rsid w:val="006E2B41"/>
    <w:rsid w:val="00B4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33FF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B433FF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B433FF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33FF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B433FF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B433FF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89E9927E5CA554E70B8BCB50FB64240A5C58F52CB3503AAC4BF27C9976D55C36B05CB862EE768E28A04AB4E4D11B9406CEFE9ED48B43C39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2019-10-28T10:55:00Z</dcterms:created>
  <dcterms:modified xsi:type="dcterms:W3CDTF">2019-10-28T10:59:00Z</dcterms:modified>
</cp:coreProperties>
</file>