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C35" w:rsidRPr="00C43C35" w:rsidRDefault="00C43C35" w:rsidP="00C43C35">
      <w:pPr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</w:rPr>
        <w:t xml:space="preserve">Основные направления бюджетной и налоговой политики </w:t>
      </w:r>
    </w:p>
    <w:p w:rsidR="00C43C35" w:rsidRPr="00C43C35" w:rsidRDefault="00C43C35" w:rsidP="00C43C35">
      <w:pPr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</w:rPr>
        <w:t>Саратовской области</w:t>
      </w:r>
    </w:p>
    <w:p w:rsidR="00C43C35" w:rsidRPr="00C43C35" w:rsidRDefault="00C43C35" w:rsidP="00C43C35">
      <w:pPr>
        <w:jc w:val="center"/>
        <w:rPr>
          <w:b/>
          <w:sz w:val="28"/>
          <w:szCs w:val="28"/>
          <w:highlight w:val="yellow"/>
        </w:rPr>
      </w:pPr>
    </w:p>
    <w:p w:rsidR="00C43C35" w:rsidRPr="00C43C35" w:rsidRDefault="00C43C35" w:rsidP="00C43C35">
      <w:pPr>
        <w:spacing w:line="216" w:lineRule="auto"/>
        <w:ind w:firstLine="720"/>
        <w:jc w:val="both"/>
        <w:rPr>
          <w:sz w:val="28"/>
          <w:szCs w:val="28"/>
          <w:highlight w:val="yellow"/>
        </w:rPr>
      </w:pPr>
    </w:p>
    <w:p w:rsidR="00C43C35" w:rsidRPr="00C43C35" w:rsidRDefault="00C43C35" w:rsidP="00C43C35">
      <w:pPr>
        <w:ind w:firstLine="709"/>
        <w:jc w:val="both"/>
        <w:rPr>
          <w:sz w:val="28"/>
          <w:szCs w:val="28"/>
          <w:highlight w:val="yellow"/>
        </w:rPr>
      </w:pPr>
      <w:proofErr w:type="gramStart"/>
      <w:r w:rsidRPr="00C43C35">
        <w:rPr>
          <w:sz w:val="28"/>
          <w:szCs w:val="28"/>
        </w:rPr>
        <w:t xml:space="preserve">Основные направления бюджетной и налоговой политики области на 2018 год и плановый период 2019 и 2020 годов определены в соответствии с указами Президента Российской Федерации от 7 мая 2012 года, 1 июня </w:t>
      </w:r>
      <w:r w:rsidRPr="00C43C35">
        <w:rPr>
          <w:sz w:val="28"/>
          <w:szCs w:val="28"/>
        </w:rPr>
        <w:br/>
        <w:t>2012 года № 761 «О Национальной стратегии действий в интересах детей на 2012-2017 годы» и 28 декабря 2012 года № 1688 «О некоторых мерах по реализации государственной политики в сфере</w:t>
      </w:r>
      <w:proofErr w:type="gramEnd"/>
      <w:r w:rsidRPr="00C43C35">
        <w:rPr>
          <w:sz w:val="28"/>
          <w:szCs w:val="28"/>
        </w:rPr>
        <w:t xml:space="preserve"> </w:t>
      </w:r>
      <w:proofErr w:type="gramStart"/>
      <w:r w:rsidRPr="00C43C35">
        <w:rPr>
          <w:sz w:val="28"/>
          <w:szCs w:val="28"/>
        </w:rPr>
        <w:t>защиты детей-сирот и детей, оставшихся без попечения родителей» (далее – Указы), Бюджетным кодексом Российской Федерации, Законом Саратовской области «О бюджетном процессе в Саратовской области», Планом мероприятий</w:t>
      </w:r>
      <w:r w:rsidRPr="00C43C35">
        <w:t xml:space="preserve"> </w:t>
      </w:r>
      <w:r w:rsidRPr="00C43C35">
        <w:rPr>
          <w:sz w:val="28"/>
          <w:szCs w:val="28"/>
        </w:rPr>
        <w:t xml:space="preserve">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года, утвержденным постановлением Правительства Саратовской области от 29 марта 2011 года № 165-П </w:t>
      </w:r>
      <w:r w:rsidRPr="00C43C35">
        <w:rPr>
          <w:sz w:val="28"/>
          <w:szCs w:val="28"/>
        </w:rPr>
        <w:br/>
        <w:t>(с</w:t>
      </w:r>
      <w:proofErr w:type="gramEnd"/>
      <w:r w:rsidRPr="00C43C35">
        <w:rPr>
          <w:sz w:val="28"/>
          <w:szCs w:val="28"/>
        </w:rPr>
        <w:t xml:space="preserve"> учетом изменений) (далее – План мероприятий по оздоровлению), и Программой оптимизации расходов областного бюджета на 2017 - 2019 годы, утвержденной распоряжением Правительства Саратовской области от </w:t>
      </w:r>
      <w:r w:rsidRPr="00C43C35">
        <w:rPr>
          <w:sz w:val="28"/>
          <w:szCs w:val="28"/>
        </w:rPr>
        <w:br/>
        <w:t xml:space="preserve">31 марта 2017 года № 74-Пр (далее – Программа оптимизации расходов). </w:t>
      </w:r>
    </w:p>
    <w:p w:rsidR="00C43C35" w:rsidRPr="00C43C35" w:rsidRDefault="00C43C35" w:rsidP="00C43C35">
      <w:pPr>
        <w:spacing w:line="216" w:lineRule="auto"/>
        <w:ind w:firstLine="709"/>
        <w:jc w:val="both"/>
        <w:rPr>
          <w:sz w:val="28"/>
          <w:szCs w:val="28"/>
          <w:highlight w:val="yellow"/>
        </w:rPr>
      </w:pPr>
    </w:p>
    <w:p w:rsidR="00C43C35" w:rsidRPr="00C43C35" w:rsidRDefault="00C43C35" w:rsidP="00C43C35">
      <w:pPr>
        <w:spacing w:line="216" w:lineRule="auto"/>
        <w:jc w:val="center"/>
        <w:rPr>
          <w:b/>
          <w:spacing w:val="-6"/>
          <w:sz w:val="28"/>
          <w:szCs w:val="28"/>
        </w:rPr>
      </w:pPr>
      <w:r w:rsidRPr="00C43C35">
        <w:rPr>
          <w:b/>
          <w:spacing w:val="-6"/>
          <w:sz w:val="28"/>
          <w:szCs w:val="28"/>
          <w:lang w:val="en-US"/>
        </w:rPr>
        <w:t>I</w:t>
      </w:r>
      <w:r w:rsidRPr="00C43C35">
        <w:rPr>
          <w:b/>
          <w:spacing w:val="-6"/>
          <w:sz w:val="28"/>
          <w:szCs w:val="28"/>
        </w:rPr>
        <w:t>. Налоговая политика</w:t>
      </w:r>
    </w:p>
    <w:p w:rsidR="00C43C35" w:rsidRPr="00C43C35" w:rsidRDefault="00C43C35" w:rsidP="00C43C35">
      <w:pPr>
        <w:spacing w:line="216" w:lineRule="auto"/>
        <w:ind w:firstLine="720"/>
        <w:jc w:val="both"/>
        <w:rPr>
          <w:spacing w:val="-8"/>
          <w:sz w:val="28"/>
          <w:szCs w:val="28"/>
          <w:highlight w:val="yellow"/>
        </w:rPr>
      </w:pPr>
    </w:p>
    <w:p w:rsidR="00C43C35" w:rsidRPr="00C43C35" w:rsidRDefault="00C43C35" w:rsidP="00C43C35">
      <w:pPr>
        <w:ind w:firstLine="720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Происходящие структурные изменения в экономике сыграли значительную роль в обеспечении сбалансированности региональных финансов. За 9 месяцев текущего года налоговые и неналоговые доходы консолидированного бюджета выросли на 8,2% (или на 4,1 </w:t>
      </w:r>
      <w:proofErr w:type="gramStart"/>
      <w:r w:rsidRPr="00C43C35">
        <w:rPr>
          <w:spacing w:val="-6"/>
          <w:sz w:val="28"/>
          <w:szCs w:val="28"/>
        </w:rPr>
        <w:t>млрд</w:t>
      </w:r>
      <w:proofErr w:type="gramEnd"/>
      <w:r w:rsidRPr="00C43C35">
        <w:rPr>
          <w:spacing w:val="-6"/>
          <w:sz w:val="28"/>
          <w:szCs w:val="28"/>
        </w:rPr>
        <w:t xml:space="preserve"> рублей). Удельный вес доли налога на прибыль увеличился с 25,8% налоговых доходов областного бюджета в 2016 году до 28,6% по итогам 9 месяцев 2017 года.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Устойчивое экономическое развитие зависит от предсказуемости внутренних экономических условий, низкой инфляции, стабильной и понятной налоговой системы. Предполагается, что основным принципом любых возможных реформ налоговой системы будет принцип фискальной нейтральности - то есть </w:t>
      </w:r>
      <w:proofErr w:type="spellStart"/>
      <w:r w:rsidRPr="00C43C35">
        <w:rPr>
          <w:sz w:val="28"/>
          <w:szCs w:val="28"/>
        </w:rPr>
        <w:t>неповышение</w:t>
      </w:r>
      <w:proofErr w:type="spellEnd"/>
      <w:r w:rsidRPr="00C43C35">
        <w:rPr>
          <w:sz w:val="28"/>
          <w:szCs w:val="28"/>
        </w:rPr>
        <w:t xml:space="preserve"> налоговой нагрузки для добросовестных налогоплательщиков.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Предполагается, что основным принципом любых возможных реформ налоговой системы будет принцип фискальной нейтральности - то есть не повышение налоговой нагрузки для добросовестных налогоплательщиков.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Реформы налоговой системы предполагается законодательно закрепить в 2018 году с тем, чтобы с 1 января 2019 года зафиксировать новые стабильные правила на долгосрочный период.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Помимо налоговых условий, также важна и предсказуемость таких элементов фискальной системы как неналоговые платежи и налоговые льготы.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lastRenderedPageBreak/>
        <w:t xml:space="preserve">В части неналоговых платежей завершается работа по законодательному закреплению единых правил их установления и взимания – своего рода кодекс неналоговых платежей. По результатам создания нормативной базы, регулирующей такие платежи, планируется, </w:t>
      </w:r>
      <w:proofErr w:type="gramStart"/>
      <w:r w:rsidRPr="00C43C35">
        <w:rPr>
          <w:sz w:val="28"/>
          <w:szCs w:val="28"/>
        </w:rPr>
        <w:t>по</w:t>
      </w:r>
      <w:proofErr w:type="gramEnd"/>
      <w:r w:rsidRPr="00C43C35">
        <w:rPr>
          <w:sz w:val="28"/>
          <w:szCs w:val="28"/>
        </w:rPr>
        <w:t xml:space="preserve"> возможности, сократить количество неналоговых платежей и упростить процедуры их администрирования. 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Реформирование системы налоговых льгот также представляет особую важность. В отличие от прямых бюджетных расходов контроль, учет и оценка эффективности налоговых льгот и преференций пока не формализованы, что создает предпосылки для уменьшения прозрачности бюджетной и налоговой политики. Стоит задача по внедрению концепции налоговых и неналоговых расходов в бюджетный процесс, закреплению соответствующих норм в законодательстве и созданию прозрачного механизма анализа объемов налоговых и неналоговых расходов и оценки их эффективности на всех уровнях бюджетов бюджетной системы.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В настоящее </w:t>
      </w:r>
      <w:proofErr w:type="gramStart"/>
      <w:r w:rsidRPr="00C43C35">
        <w:rPr>
          <w:sz w:val="28"/>
          <w:szCs w:val="28"/>
        </w:rPr>
        <w:t>время</w:t>
      </w:r>
      <w:proofErr w:type="gramEnd"/>
      <w:r w:rsidRPr="00C43C35">
        <w:rPr>
          <w:sz w:val="28"/>
          <w:szCs w:val="28"/>
        </w:rPr>
        <w:t xml:space="preserve"> как на федеральном, так и на региональном уровне существует большое количество льгот и преференций, при этом значительная часть из них носит бессрочный характер, не направлены на решение какой-либо конкретной задачи экономической политики государства, не носит «адресный» характер.</w:t>
      </w:r>
    </w:p>
    <w:p w:rsidR="00C43C35" w:rsidRPr="00C43C35" w:rsidRDefault="00C43C35" w:rsidP="00C43C35">
      <w:pPr>
        <w:ind w:firstLine="720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В текущем году принято решение о распределении федеральных налоговых льгот по региональным и местным налогам на три категории в зависимости от срока передачи на региональный уровень: льготы, отменяемые на федеральном уровне с 1 января 2018 года, с 1 января 2020 года и с 1 января </w:t>
      </w:r>
      <w:r w:rsidRPr="00C43C35">
        <w:rPr>
          <w:spacing w:val="-6"/>
          <w:sz w:val="28"/>
          <w:szCs w:val="28"/>
        </w:rPr>
        <w:br/>
        <w:t>2022 года.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В Налоговый кодекс уже внесены изменения, предусматривающие, что с 1 января 2018 года субъекты Российской Федерации получают право самостоятельно принимать решение о предоставлении на своей территории налоговых льгот по налогу на имущество организаций в отношении движимого имущества. 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Вместе с тем в настоящее время Правительство Российской Федерации внесло в Государственную Думу проект федерального закона, которым предусматривается изменение срока передачи указанных полномочий субъектам Российской Федерации на 2019 год.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С 2018 года планируется передача на региональный уровень налоговой льготы по налогу на имущество организаций в отношении </w:t>
      </w:r>
      <w:proofErr w:type="spellStart"/>
      <w:r w:rsidRPr="00C43C35">
        <w:rPr>
          <w:sz w:val="28"/>
          <w:szCs w:val="28"/>
        </w:rPr>
        <w:t>энергоэффективных</w:t>
      </w:r>
      <w:proofErr w:type="spellEnd"/>
      <w:r w:rsidRPr="00C43C35">
        <w:rPr>
          <w:sz w:val="28"/>
          <w:szCs w:val="28"/>
        </w:rPr>
        <w:t xml:space="preserve"> объектов. 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В первоочередном порядке продолжение работы по поэтапной отмене отдельных федеральных налоговых льгот предлагается в отношении: 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пониженной налоговой ставки по налогу на имущество организаций по линейным объектам (ставка 2,2% по трубопроводам, линиям </w:t>
      </w:r>
      <w:proofErr w:type="spellStart"/>
      <w:r w:rsidRPr="00C43C35">
        <w:rPr>
          <w:sz w:val="28"/>
          <w:szCs w:val="28"/>
        </w:rPr>
        <w:t>энергопередачи</w:t>
      </w:r>
      <w:proofErr w:type="spellEnd"/>
      <w:r w:rsidRPr="00C43C35">
        <w:rPr>
          <w:sz w:val="28"/>
          <w:szCs w:val="28"/>
        </w:rPr>
        <w:t xml:space="preserve"> с 2019 года, по железнодорожным путям общего пользования - с 2021 года); 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lastRenderedPageBreak/>
        <w:t xml:space="preserve">– для льгот по налогу на имущество организаций и земельному налогу для организаций и учреждений уголовно-исполнительной системы, а также для автомобильных дорог федерального значения. 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Также с 2018 года на федеральном уровне устанавливается мораторий на принятие новых льгот по налогам, зачисляемым в региональные и местные бюджеты.  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Другим направлением проводимых реформ налоговой политики является сокращение теневого сектора и создание равных конкурентных условий для ведения бизнеса. В этих целях планируется: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полный охват (с 1 июля 2018 года) розничной торговли </w:t>
      </w:r>
      <w:proofErr w:type="spellStart"/>
      <w:r w:rsidRPr="00C43C35">
        <w:rPr>
          <w:sz w:val="28"/>
          <w:szCs w:val="28"/>
        </w:rPr>
        <w:t>контрольно</w:t>
      </w:r>
      <w:proofErr w:type="spellEnd"/>
      <w:r w:rsidRPr="00C43C35">
        <w:rPr>
          <w:sz w:val="28"/>
          <w:szCs w:val="28"/>
        </w:rPr>
        <w:t>–кассовой техникой, обеспечивающей онлайн-передачу данных на сервера ФНС;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создание системы </w:t>
      </w:r>
      <w:proofErr w:type="spellStart"/>
      <w:r w:rsidRPr="00C43C35">
        <w:rPr>
          <w:sz w:val="28"/>
          <w:szCs w:val="28"/>
        </w:rPr>
        <w:t>прослеживаемости</w:t>
      </w:r>
      <w:proofErr w:type="spellEnd"/>
      <w:r w:rsidRPr="00C43C35">
        <w:rPr>
          <w:sz w:val="28"/>
          <w:szCs w:val="28"/>
        </w:rPr>
        <w:t xml:space="preserve"> движения товаров от этапа таможенного оформления до реализации конечному потребителю;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постепенное распространение системы </w:t>
      </w:r>
      <w:proofErr w:type="spellStart"/>
      <w:r w:rsidRPr="00C43C35">
        <w:rPr>
          <w:sz w:val="28"/>
          <w:szCs w:val="28"/>
        </w:rPr>
        <w:t>прослеживаемости</w:t>
      </w:r>
      <w:proofErr w:type="spellEnd"/>
      <w:r w:rsidRPr="00C43C35">
        <w:rPr>
          <w:sz w:val="28"/>
          <w:szCs w:val="28"/>
        </w:rPr>
        <w:t xml:space="preserve"> (ЕГАИС, маркировки) на другие товарные группы;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интеграция информационных массивов внебюджетных фондов (пенсионный, медицинский, социального страхования) и налоговой службы; запуск единого государственного реестра записей актов гражданского состояния и создание федерального регистра сведений о населении.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Интеграция всех источников информации и потоков данных в единое информационное пространство с последующей автоматизацией ее анализа позволит кратно повысить качество налогового администрирования.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Среди мер, направленных на сокращение теневого сектора предусматривается: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признание плательщиков ЕСХН (единого сельскохозяйственного налога) с выручкой более 150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 плательщиками НДС;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освобождение плательщиков ЕСХН от налога на имущество организаций и налога на имущество физических лиц только в части имущества, используемого в предпринимательской деятельности.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в целях пресечения злоупотреблений, связанных с использованием патентной системы налогообложения, для минимизации налогообложения по такому виду предпринимательской деятельности как сдача в аренду (наем) жилых и нежилых помещений, дач, земельных участков предусматривается введение ограничений количества таких объектов (общей площади объектов);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установление дифференцированного размера государственной пошлины для лиц, осуществляющих розничную торговлю алкогольной продукцией, в зависимости от количества мест осуществления деятельности;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уточнение видов предпринимательской деятельности, в отношении которых могут применяться ЕНВД, патентная система налогообложения и пониженные тарифы страховых взносов для плательщиков УСН в связи с введением в действие ОКВЭД</w:t>
      </w:r>
      <w:proofErr w:type="gramStart"/>
      <w:r w:rsidRPr="00C43C35">
        <w:rPr>
          <w:sz w:val="28"/>
          <w:szCs w:val="28"/>
        </w:rPr>
        <w:t>2</w:t>
      </w:r>
      <w:proofErr w:type="gramEnd"/>
      <w:r w:rsidRPr="00C43C35">
        <w:rPr>
          <w:sz w:val="28"/>
          <w:szCs w:val="28"/>
        </w:rPr>
        <w:t>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запрет на вычет сумм НДС по товарам (работам, услугам), оплачиваемым за счет субсидий и (или) бюджетных инвестиций, полученных </w:t>
      </w:r>
      <w:r w:rsidRPr="00C43C35">
        <w:rPr>
          <w:sz w:val="28"/>
          <w:szCs w:val="28"/>
        </w:rPr>
        <w:lastRenderedPageBreak/>
        <w:t>налогоплательщиком из бюджетов бюджетной системы Российской Федерации;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proofErr w:type="gramStart"/>
      <w:r w:rsidRPr="00C43C35">
        <w:rPr>
          <w:sz w:val="28"/>
          <w:szCs w:val="28"/>
        </w:rPr>
        <w:t>– в целях социально-экономического развития регионов, повышения эффективности мер по урегулированию задолженности перед бюджетной системой Российской Федерации предлагается расширить основания для предоставления отсрочки (рассрочки) по уплате налоговых платежей и страховых взносов организациям, выполняющим особо важные заказы по социально-экономическому развитию регионов, предоставляющим особо важные услуги населению, а также включенным в перечень стратегических организаций, который определяется в соответствии с законодательством о несостоятельности (банкротстве);</w:t>
      </w:r>
      <w:proofErr w:type="gramEnd"/>
    </w:p>
    <w:p w:rsidR="00C43C35" w:rsidRPr="00C43C35" w:rsidRDefault="00C43C35" w:rsidP="00C43C35">
      <w:pPr>
        <w:ind w:firstLine="720"/>
        <w:jc w:val="both"/>
        <w:rPr>
          <w:spacing w:val="-4"/>
          <w:kern w:val="28"/>
          <w:sz w:val="28"/>
          <w:szCs w:val="28"/>
        </w:rPr>
      </w:pPr>
      <w:r w:rsidRPr="00C43C35">
        <w:rPr>
          <w:spacing w:val="-4"/>
          <w:kern w:val="28"/>
          <w:sz w:val="28"/>
          <w:szCs w:val="28"/>
        </w:rPr>
        <w:t>В части создания комфортных условий для осуществления новых инвестиционных проектов предлагается предоставлять налогоплательщикам инвестиционный налоговый вычет – право уменьшить исчисленную сумму налога на прибыль на сумму расходов, связанных с приобретением (созданием) или модернизацией (реконструкцией) объектов основных средств.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proofErr w:type="gramStart"/>
      <w:r w:rsidRPr="00C43C35">
        <w:rPr>
          <w:sz w:val="28"/>
          <w:szCs w:val="28"/>
        </w:rPr>
        <w:t xml:space="preserve">На областном уровне в соответствии с концепцией Минфина России и Планом мероприятий по устранению с 1 января 2018 года неэффективных льгот (пониженных ставок по налогам), установленных законодательством Саратовской области о налогах и сборах, утвержденным распоряжением Правительства Саратовской области от 30 июня 2017 года № 146-Пр, налоговая политика области на 2018 год и на плановый период 2019 и </w:t>
      </w:r>
      <w:r w:rsidRPr="00C43C35">
        <w:rPr>
          <w:sz w:val="28"/>
          <w:szCs w:val="28"/>
        </w:rPr>
        <w:br/>
        <w:t>2020 годов предполагает:</w:t>
      </w:r>
      <w:proofErr w:type="gramEnd"/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сокращение неэффективных налоговых льгот (неработающие льготы для инвесторов и малого бизнеса);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введение до 2021 года моратория на установление льгот в отношении движимого имущества;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освобождение до конца 2018 года </w:t>
      </w:r>
      <w:proofErr w:type="spellStart"/>
      <w:r w:rsidRPr="00C43C35">
        <w:rPr>
          <w:sz w:val="28"/>
          <w:szCs w:val="28"/>
        </w:rPr>
        <w:t>самозанятых</w:t>
      </w:r>
      <w:proofErr w:type="spellEnd"/>
      <w:r w:rsidRPr="00C43C35">
        <w:rPr>
          <w:sz w:val="28"/>
          <w:szCs w:val="28"/>
        </w:rPr>
        <w:t xml:space="preserve"> физических лиц, осуществляющих услуги для личных, домашних и (или) иных подобных нужд и не привлекающих наемных работников, от уплаты НДФЛ;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установление преференций по налогу на прибыль и налогу на имущество организаций для налогоплательщиков, получивших статус резидентов территорий опережающего социально-экономического развития;</w:t>
      </w:r>
    </w:p>
    <w:p w:rsidR="00C43C35" w:rsidRPr="00C43C35" w:rsidRDefault="00C43C35" w:rsidP="00C43C35">
      <w:pPr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переход с 2018 года на исчисление </w:t>
      </w:r>
      <w:proofErr w:type="gramStart"/>
      <w:r w:rsidRPr="00C43C35">
        <w:rPr>
          <w:sz w:val="28"/>
          <w:szCs w:val="28"/>
        </w:rPr>
        <w:t>налога</w:t>
      </w:r>
      <w:proofErr w:type="gramEnd"/>
      <w:r w:rsidRPr="00C43C35">
        <w:rPr>
          <w:sz w:val="28"/>
          <w:szCs w:val="28"/>
        </w:rPr>
        <w:t xml:space="preserve"> на имущество физических лиц исходя из кадастровой стоимости объектов.</w:t>
      </w:r>
    </w:p>
    <w:p w:rsidR="00C43C35" w:rsidRPr="00C43C35" w:rsidRDefault="00C43C35" w:rsidP="00C43C35">
      <w:pPr>
        <w:ind w:firstLine="720"/>
        <w:jc w:val="both"/>
        <w:rPr>
          <w:spacing w:val="-8"/>
          <w:sz w:val="28"/>
          <w:szCs w:val="28"/>
          <w:highlight w:val="yellow"/>
        </w:rPr>
      </w:pPr>
    </w:p>
    <w:p w:rsidR="00C43C35" w:rsidRPr="00C43C35" w:rsidRDefault="00C43C35" w:rsidP="00C43C35">
      <w:pPr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  <w:lang w:val="en-US"/>
        </w:rPr>
        <w:t>II</w:t>
      </w:r>
      <w:r w:rsidRPr="00C43C35">
        <w:rPr>
          <w:b/>
          <w:sz w:val="28"/>
          <w:szCs w:val="28"/>
        </w:rPr>
        <w:t>. Бюджетная политика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  <w:highlight w:val="yellow"/>
        </w:rPr>
      </w:pP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Бюджетная политика области на 2018 год и на плановый период 2019 и 2020 годов нацелена на обеспечение сбалансированности и устойчивости бюджета в условиях ограниченности финансовых ресурсов и будет направлена на решение следующих основных задач: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безусловное исполнение действующих социально значимых обязательств; 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lastRenderedPageBreak/>
        <w:t>– консолидация финансовых ресурсов на приоритетных направлениях государственной политики, в том числе на реализации задач, поставленных в Указах;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повышение операционной эффективности использования бюджетных средств;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совершенствование процессов государственного и муниципального управления, в том числе за счет передачи части неспецифических для них функций в подведомственные учреждения и (или) многофункциональный центр предоставления государственных и муниципальных услуг;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повышение качества предоставления государственных услуг за счет внедрения конкурентных (альтернативных) способов организации оказания государственных услуг, в том числе некоммерческими организациями, оказывающими общественно-полезные услуги;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расширение применения принципов адресности и нуждаемости при предоставлении гражданам мер социальной поддержки;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полномасштабное внедрение принципов формирования программного бюджета на областном и муниципальном уровнях; 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дальнейшая оптимизация структуры долговых обязательств, снижение их соотношения к общему объему доходов бюджета без учета безвозмездных поступлений;</w:t>
      </w:r>
    </w:p>
    <w:p w:rsidR="00C43C35" w:rsidRPr="00C43C35" w:rsidRDefault="00C43C35" w:rsidP="00C43C35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соблюдение ограничений, установленных бюджетным законодательством и соглашениями с Минфином России при предоставлении в 2017 году бюджетных кредитов, а также ограничений, планируемых к установлению Минфином России в 2018 году в соглашениях о предоставлении области из федерального бюджета дотации на выравнивание и при проведении реструктуризации бюджетных кредитов.</w:t>
      </w:r>
    </w:p>
    <w:p w:rsidR="00C43C35" w:rsidRPr="00C43C35" w:rsidRDefault="00C43C35" w:rsidP="00C43C35">
      <w:pPr>
        <w:ind w:firstLine="737"/>
        <w:jc w:val="both"/>
        <w:rPr>
          <w:sz w:val="28"/>
          <w:szCs w:val="28"/>
          <w:highlight w:val="yellow"/>
        </w:rPr>
      </w:pPr>
    </w:p>
    <w:p w:rsidR="00C43C35" w:rsidRPr="00C43C35" w:rsidRDefault="00C43C35" w:rsidP="00C43C35">
      <w:pPr>
        <w:widowControl w:val="0"/>
        <w:jc w:val="center"/>
        <w:rPr>
          <w:b/>
          <w:snapToGrid w:val="0"/>
          <w:sz w:val="28"/>
          <w:szCs w:val="28"/>
        </w:rPr>
      </w:pPr>
      <w:r w:rsidRPr="00C43C35">
        <w:rPr>
          <w:b/>
          <w:snapToGrid w:val="0"/>
          <w:sz w:val="28"/>
          <w:szCs w:val="28"/>
          <w:lang w:val="en-US"/>
        </w:rPr>
        <w:t>III</w:t>
      </w:r>
      <w:r w:rsidRPr="00C43C35">
        <w:rPr>
          <w:b/>
          <w:snapToGrid w:val="0"/>
          <w:sz w:val="28"/>
          <w:szCs w:val="28"/>
        </w:rPr>
        <w:t xml:space="preserve">. Основные характеристики консолидированного бюджета </w:t>
      </w:r>
    </w:p>
    <w:p w:rsidR="00C43C35" w:rsidRPr="00C43C35" w:rsidRDefault="00C43C35" w:rsidP="00C43C35">
      <w:pPr>
        <w:widowControl w:val="0"/>
        <w:jc w:val="center"/>
        <w:rPr>
          <w:b/>
          <w:snapToGrid w:val="0"/>
          <w:sz w:val="28"/>
          <w:szCs w:val="28"/>
        </w:rPr>
      </w:pPr>
      <w:r w:rsidRPr="00C43C35">
        <w:rPr>
          <w:b/>
          <w:snapToGrid w:val="0"/>
          <w:sz w:val="28"/>
          <w:szCs w:val="28"/>
        </w:rPr>
        <w:t>Саратовской области на 2018-2020 годы</w:t>
      </w:r>
    </w:p>
    <w:p w:rsidR="00C43C35" w:rsidRPr="00C43C35" w:rsidRDefault="00C43C35" w:rsidP="00C43C3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43C35" w:rsidRPr="00C43C35" w:rsidRDefault="00C43C35" w:rsidP="00C43C35">
      <w:pPr>
        <w:widowControl w:val="0"/>
        <w:ind w:firstLine="720"/>
        <w:jc w:val="both"/>
        <w:rPr>
          <w:snapToGrid w:val="0"/>
          <w:sz w:val="28"/>
          <w:szCs w:val="28"/>
        </w:rPr>
      </w:pPr>
      <w:r w:rsidRPr="00C43C35">
        <w:rPr>
          <w:snapToGrid w:val="0"/>
          <w:sz w:val="28"/>
          <w:szCs w:val="28"/>
        </w:rPr>
        <w:t>Основные параметры прогноза консолидированного бюджета области на 2018-2020 годы характеризуются следующими показателями:</w:t>
      </w:r>
    </w:p>
    <w:p w:rsidR="00C43C35" w:rsidRPr="00C43C35" w:rsidRDefault="00C43C35" w:rsidP="00C43C35">
      <w:pPr>
        <w:spacing w:line="247" w:lineRule="auto"/>
        <w:jc w:val="right"/>
      </w:pPr>
      <w:r w:rsidRPr="00C43C35">
        <w:t xml:space="preserve"> (</w:t>
      </w:r>
      <w:proofErr w:type="gramStart"/>
      <w:r w:rsidRPr="00C43C35">
        <w:t>млн</w:t>
      </w:r>
      <w:proofErr w:type="gramEnd"/>
      <w:r w:rsidRPr="00C43C35">
        <w:t xml:space="preserve">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417"/>
        <w:gridCol w:w="1181"/>
        <w:gridCol w:w="1181"/>
        <w:gridCol w:w="1182"/>
      </w:tblGrid>
      <w:tr w:rsidR="00C43C35" w:rsidRPr="00C43C35" w:rsidTr="004B16A0">
        <w:trPr>
          <w:trHeight w:val="58"/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</w:t>
            </w:r>
            <w:r w:rsidRPr="00C43C35">
              <w:rPr>
                <w:b/>
                <w:bCs/>
                <w:lang w:val="en-US"/>
              </w:rPr>
              <w:t>7</w:t>
            </w:r>
            <w:r w:rsidRPr="00C43C35">
              <w:rPr>
                <w:b/>
                <w:bCs/>
              </w:rPr>
              <w:t xml:space="preserve">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</w:t>
            </w:r>
            <w:r w:rsidRPr="00C43C35">
              <w:rPr>
                <w:b/>
                <w:bCs/>
                <w:lang w:val="en-US"/>
              </w:rPr>
              <w:t>8</w:t>
            </w:r>
            <w:r w:rsidRPr="00C43C35">
              <w:rPr>
                <w:b/>
                <w:bCs/>
              </w:rPr>
              <w:t xml:space="preserve">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</w:t>
            </w:r>
            <w:r w:rsidRPr="00C43C35">
              <w:rPr>
                <w:b/>
                <w:bCs/>
                <w:lang w:val="en-US"/>
              </w:rPr>
              <w:t>9</w:t>
            </w:r>
            <w:r w:rsidRPr="00C43C35">
              <w:rPr>
                <w:b/>
                <w:bCs/>
              </w:rPr>
              <w:t xml:space="preserve">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</w:t>
            </w:r>
            <w:r w:rsidRPr="00C43C35">
              <w:rPr>
                <w:b/>
                <w:bCs/>
                <w:lang w:val="en-US"/>
              </w:rPr>
              <w:t>20</w:t>
            </w:r>
            <w:r w:rsidRPr="00C43C35">
              <w:rPr>
                <w:b/>
                <w:bCs/>
              </w:rPr>
              <w:t xml:space="preserve"> год</w:t>
            </w:r>
          </w:p>
        </w:tc>
      </w:tr>
      <w:tr w:rsidR="00C43C35" w:rsidRPr="00C43C35" w:rsidTr="004B16A0">
        <w:trPr>
          <w:trHeight w:val="104"/>
          <w:tblHeader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 xml:space="preserve">бюджетные </w:t>
            </w:r>
            <w:r w:rsidRPr="00C43C35">
              <w:rPr>
                <w:spacing w:val="-8"/>
                <w:sz w:val="20"/>
                <w:szCs w:val="20"/>
              </w:rPr>
              <w:t>проектировки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</w:tr>
      <w:tr w:rsidR="00C43C35" w:rsidRPr="00C43C35" w:rsidTr="004B16A0">
        <w:trPr>
          <w:trHeight w:val="5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/>
                <w:bCs/>
              </w:rPr>
            </w:pPr>
            <w:r w:rsidRPr="00C43C35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71 016,5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78 554,1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82 569,6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89 232,1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/>
                <w:bCs/>
              </w:rPr>
            </w:pPr>
            <w:r w:rsidRPr="00C43C35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14 496,6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15 299,9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14 010,5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14 003,6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ind w:left="176" w:right="-108" w:firstLineChars="200" w:firstLine="480"/>
              <w:rPr>
                <w:i/>
                <w:iCs/>
              </w:rPr>
            </w:pPr>
            <w:r w:rsidRPr="00C43C35">
              <w:rPr>
                <w:i/>
                <w:iCs/>
              </w:rPr>
              <w:t>нецелевые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8 999,7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9 000,4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8 495,3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8 495,3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ind w:left="176" w:firstLineChars="200" w:firstLine="480"/>
              <w:rPr>
                <w:i/>
                <w:iCs/>
              </w:rPr>
            </w:pPr>
            <w:r w:rsidRPr="00C43C35">
              <w:rPr>
                <w:i/>
                <w:iCs/>
              </w:rPr>
              <w:t>целевые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5 496,9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6 299,5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5 515,2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5 508,3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jc w:val="both"/>
              <w:rPr>
                <w:b/>
                <w:bCs/>
              </w:rPr>
            </w:pPr>
            <w:r w:rsidRPr="00C43C35">
              <w:rPr>
                <w:b/>
                <w:bCs/>
              </w:rPr>
              <w:t>Доходы –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85 513,1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93 854,0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96 580,1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103 235,7</w:t>
            </w:r>
          </w:p>
        </w:tc>
      </w:tr>
      <w:tr w:rsidR="00C43C35" w:rsidRPr="00C43C35" w:rsidTr="004B16A0">
        <w:trPr>
          <w:trHeight w:val="7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</w:pP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Cs/>
              </w:rPr>
            </w:pPr>
            <w:r w:rsidRPr="00C43C35">
              <w:rPr>
                <w:bCs/>
              </w:rPr>
              <w:t>Расходы за счет собственных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84 840,7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87 554,5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90 144,8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95 601,8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459"/>
              <w:rPr>
                <w:bCs/>
                <w:i/>
                <w:spacing w:val="-8"/>
              </w:rPr>
            </w:pPr>
            <w:r w:rsidRPr="00C43C35">
              <w:rPr>
                <w:bCs/>
                <w:i/>
                <w:spacing w:val="-8"/>
              </w:rPr>
              <w:t xml:space="preserve">в </w:t>
            </w:r>
            <w:proofErr w:type="spellStart"/>
            <w:r w:rsidRPr="00C43C35">
              <w:rPr>
                <w:bCs/>
                <w:i/>
                <w:spacing w:val="-8"/>
              </w:rPr>
              <w:t>т.ч</w:t>
            </w:r>
            <w:proofErr w:type="spellEnd"/>
            <w:r w:rsidRPr="00C43C35">
              <w:rPr>
                <w:bCs/>
                <w:i/>
                <w:spacing w:val="-8"/>
              </w:rPr>
              <w:t>. межбюджетные трансферты местным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</w:pPr>
            <w:r w:rsidRPr="00C43C35">
              <w:t>18 740,8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i/>
              </w:rPr>
            </w:pPr>
            <w:r w:rsidRPr="00C43C35">
              <w:rPr>
                <w:bCs/>
              </w:rPr>
              <w:t>20 050,9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i/>
              </w:rPr>
            </w:pPr>
            <w:r w:rsidRPr="00C43C35">
              <w:rPr>
                <w:bCs/>
              </w:rPr>
              <w:t>19 050,2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i/>
              </w:rPr>
            </w:pPr>
            <w:r w:rsidRPr="00C43C35">
              <w:rPr>
                <w:bCs/>
              </w:rPr>
              <w:t>19 770,0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Cs/>
              </w:rPr>
            </w:pPr>
            <w:r w:rsidRPr="00C43C35">
              <w:rPr>
                <w:bCs/>
              </w:rPr>
              <w:t>Расходы за счет целевых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</w:rPr>
            </w:pPr>
            <w:r w:rsidRPr="00C43C35">
              <w:t>5 496,9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t>6 299,5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t>5 515,2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t>5 508,3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459"/>
              <w:rPr>
                <w:bCs/>
              </w:rPr>
            </w:pPr>
            <w:r w:rsidRPr="00C43C35">
              <w:rPr>
                <w:bCs/>
                <w:i/>
                <w:spacing w:val="-8"/>
              </w:rPr>
              <w:lastRenderedPageBreak/>
              <w:t xml:space="preserve">в </w:t>
            </w:r>
            <w:proofErr w:type="spellStart"/>
            <w:r w:rsidRPr="00C43C35">
              <w:rPr>
                <w:bCs/>
                <w:i/>
                <w:spacing w:val="-8"/>
              </w:rPr>
              <w:t>т.ч</w:t>
            </w:r>
            <w:proofErr w:type="spellEnd"/>
            <w:r w:rsidRPr="00C43C35">
              <w:rPr>
                <w:bCs/>
                <w:i/>
                <w:spacing w:val="-8"/>
              </w:rPr>
              <w:t>. межбюджетные трансферты местным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i/>
              </w:rPr>
            </w:pPr>
            <w:r w:rsidRPr="00C43C35">
              <w:t>150,4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i/>
              </w:rPr>
            </w:pPr>
            <w:r w:rsidRPr="00C43C35">
              <w:t>156,2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i/>
              </w:rPr>
            </w:pPr>
            <w:r w:rsidRPr="00C43C35">
              <w:t>125,0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i/>
                <w:lang w:val="en-US"/>
              </w:rPr>
            </w:pPr>
            <w:r w:rsidRPr="00C43C35">
              <w:rPr>
                <w:bCs/>
                <w:i/>
                <w:lang w:val="en-US"/>
              </w:rPr>
              <w:t>125</w:t>
            </w:r>
            <w:r w:rsidRPr="00C43C35">
              <w:rPr>
                <w:bCs/>
                <w:i/>
              </w:rPr>
              <w:t>,</w:t>
            </w:r>
            <w:r w:rsidRPr="00C43C35">
              <w:rPr>
                <w:bCs/>
                <w:i/>
                <w:lang w:val="en-US"/>
              </w:rPr>
              <w:t>3</w:t>
            </w:r>
          </w:p>
        </w:tc>
      </w:tr>
      <w:tr w:rsidR="00C43C35" w:rsidRPr="00C43C35" w:rsidTr="004B16A0">
        <w:trPr>
          <w:trHeight w:val="7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rPr>
                <w:b/>
                <w:bCs/>
              </w:rPr>
            </w:pPr>
            <w:r w:rsidRPr="00C43C35">
              <w:rPr>
                <w:b/>
                <w:bCs/>
              </w:rPr>
              <w:t>Расходы -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90 337,6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93 854,0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95 660,0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101 110,1</w:t>
            </w:r>
          </w:p>
        </w:tc>
      </w:tr>
      <w:tr w:rsidR="00C43C35" w:rsidRPr="00C43C35" w:rsidTr="004B16A0">
        <w:trPr>
          <w:trHeight w:val="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rPr>
                <w:b/>
                <w:bCs/>
              </w:rPr>
            </w:pPr>
            <w:r w:rsidRPr="00C43C35">
              <w:rPr>
                <w:b/>
                <w:bCs/>
              </w:rPr>
              <w:t>Дефицит</w:t>
            </w:r>
            <w:proofErr w:type="gramStart"/>
            <w:r w:rsidRPr="00C43C35">
              <w:rPr>
                <w:b/>
                <w:bCs/>
              </w:rPr>
              <w:t xml:space="preserve"> (-)/</w:t>
            </w:r>
            <w:proofErr w:type="gramEnd"/>
            <w:r w:rsidRPr="00C43C35">
              <w:rPr>
                <w:b/>
                <w:bCs/>
              </w:rPr>
              <w:t>профицит (+)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lang w:val="en-US"/>
              </w:rPr>
            </w:pPr>
            <w:r w:rsidRPr="00C43C35">
              <w:rPr>
                <w:b/>
                <w:bCs/>
                <w:lang w:val="en-US"/>
              </w:rPr>
              <w:t>-4824</w:t>
            </w:r>
            <w:r w:rsidRPr="00C43C35">
              <w:rPr>
                <w:b/>
                <w:bCs/>
              </w:rPr>
              <w:t>,</w:t>
            </w:r>
            <w:r w:rsidRPr="00C43C35">
              <w:rPr>
                <w:b/>
                <w:bCs/>
                <w:lang w:val="en-US"/>
              </w:rP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lang w:val="en-US"/>
              </w:rPr>
            </w:pPr>
            <w:r w:rsidRPr="00C43C35">
              <w:rPr>
                <w:b/>
                <w:bCs/>
                <w:lang w:val="en-US"/>
              </w:rPr>
              <w:t>0</w:t>
            </w:r>
            <w:r w:rsidRPr="00C43C35">
              <w:rPr>
                <w:b/>
                <w:bCs/>
              </w:rPr>
              <w:t>,</w:t>
            </w:r>
            <w:r w:rsidRPr="00C43C35">
              <w:rPr>
                <w:b/>
                <w:bCs/>
                <w:lang w:val="en-US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lang w:val="en-US"/>
              </w:rPr>
            </w:pPr>
            <w:r w:rsidRPr="00C43C35">
              <w:rPr>
                <w:b/>
                <w:bCs/>
                <w:lang w:val="en-US"/>
              </w:rPr>
              <w:t>920</w:t>
            </w:r>
            <w:r w:rsidRPr="00C43C35">
              <w:rPr>
                <w:b/>
                <w:bCs/>
              </w:rPr>
              <w:t>,</w:t>
            </w:r>
            <w:r w:rsidRPr="00C43C35">
              <w:rPr>
                <w:b/>
                <w:bCs/>
                <w:lang w:val="en-US"/>
              </w:rPr>
              <w:t>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lang w:val="en-US"/>
              </w:rPr>
            </w:pPr>
            <w:r w:rsidRPr="00C43C35">
              <w:rPr>
                <w:b/>
                <w:bCs/>
                <w:lang w:val="en-US"/>
              </w:rPr>
              <w:t>2125</w:t>
            </w:r>
            <w:r w:rsidRPr="00C43C35">
              <w:rPr>
                <w:b/>
                <w:bCs/>
              </w:rPr>
              <w:t>,</w:t>
            </w:r>
            <w:r w:rsidRPr="00C43C35">
              <w:rPr>
                <w:b/>
                <w:bCs/>
                <w:lang w:val="en-US"/>
              </w:rPr>
              <w:t>6</w:t>
            </w:r>
          </w:p>
        </w:tc>
      </w:tr>
    </w:tbl>
    <w:p w:rsidR="00C43C35" w:rsidRDefault="00C43C35" w:rsidP="00C43C35">
      <w:pPr>
        <w:spacing w:line="247" w:lineRule="auto"/>
        <w:jc w:val="center"/>
        <w:rPr>
          <w:b/>
          <w:sz w:val="28"/>
          <w:szCs w:val="28"/>
        </w:rPr>
      </w:pPr>
    </w:p>
    <w:p w:rsidR="00C43C35" w:rsidRPr="00C43C35" w:rsidRDefault="00C43C35" w:rsidP="00C43C35">
      <w:pPr>
        <w:spacing w:line="247" w:lineRule="auto"/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  <w:lang w:val="en-US"/>
        </w:rPr>
        <w:t>IV</w:t>
      </w:r>
      <w:r w:rsidRPr="00C43C35">
        <w:rPr>
          <w:b/>
          <w:sz w:val="28"/>
          <w:szCs w:val="28"/>
        </w:rPr>
        <w:t xml:space="preserve">. Доходы консолидированного бюджета </w:t>
      </w:r>
    </w:p>
    <w:p w:rsidR="00C43C35" w:rsidRPr="00C43C35" w:rsidRDefault="00C43C35" w:rsidP="00C43C35">
      <w:pPr>
        <w:spacing w:line="247" w:lineRule="auto"/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</w:rPr>
        <w:t>Саратовской области на 2018-2020 годы</w:t>
      </w:r>
    </w:p>
    <w:p w:rsidR="00C43C35" w:rsidRPr="00C43C35" w:rsidRDefault="00C43C35" w:rsidP="00C43C35">
      <w:pPr>
        <w:spacing w:line="247" w:lineRule="auto"/>
        <w:ind w:firstLineChars="253" w:firstLine="708"/>
        <w:jc w:val="both"/>
        <w:rPr>
          <w:sz w:val="28"/>
          <w:szCs w:val="28"/>
          <w:highlight w:val="yellow"/>
        </w:rPr>
      </w:pPr>
    </w:p>
    <w:p w:rsidR="00C43C35" w:rsidRPr="00C43C35" w:rsidRDefault="00C43C35" w:rsidP="00C43C35">
      <w:pPr>
        <w:ind w:firstLine="709"/>
        <w:jc w:val="both"/>
        <w:rPr>
          <w:sz w:val="28"/>
          <w:szCs w:val="26"/>
        </w:rPr>
      </w:pPr>
      <w:r w:rsidRPr="00C43C35">
        <w:rPr>
          <w:sz w:val="28"/>
          <w:szCs w:val="26"/>
        </w:rPr>
        <w:t xml:space="preserve">Прогноз доходов консолидированного бюджета области на 2018-2020 год рассчитан на основе показателей проекта социально-экономического развития Саратовской области и сценарных условий развития экономики Российской Федерации. </w:t>
      </w:r>
    </w:p>
    <w:p w:rsidR="00C43C35" w:rsidRPr="00C43C35" w:rsidRDefault="00C43C35" w:rsidP="00C43C35">
      <w:pPr>
        <w:ind w:firstLine="709"/>
        <w:contextualSpacing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Исходя из показателей прогноза социально-экономического развития области объем налоговых и иных обязательных платежей консолидированного бюджета на 2018 год оценивается в сумме 78 554,1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 </w:t>
      </w:r>
      <w:r w:rsidRPr="00C43C35">
        <w:rPr>
          <w:i/>
          <w:sz w:val="28"/>
          <w:szCs w:val="28"/>
        </w:rPr>
        <w:t>(109,0% к бюджетным назначениям 2017 год),</w:t>
      </w:r>
      <w:r w:rsidRPr="00C43C35">
        <w:rPr>
          <w:sz w:val="28"/>
          <w:szCs w:val="28"/>
        </w:rPr>
        <w:t xml:space="preserve"> областного бюджета - в сумме 62 410,6 млн рублей </w:t>
      </w:r>
      <w:r w:rsidRPr="00C43C35">
        <w:rPr>
          <w:i/>
          <w:sz w:val="28"/>
          <w:szCs w:val="28"/>
        </w:rPr>
        <w:t>(112,8% к бюджетным назначениям 2017 года</w:t>
      </w:r>
      <w:r w:rsidRPr="00C43C35">
        <w:rPr>
          <w:sz w:val="28"/>
          <w:szCs w:val="28"/>
        </w:rPr>
        <w:t xml:space="preserve">). 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Основные параметры прогноза налоговых и неналоговых доходов консолидированного бюджета области на 2018 год и плановый период 2019 и 2020 годов представлены в следующей таблице:</w:t>
      </w:r>
    </w:p>
    <w:p w:rsidR="00C43C35" w:rsidRPr="00C43C35" w:rsidRDefault="00C43C35" w:rsidP="00C43C35">
      <w:pPr>
        <w:jc w:val="right"/>
        <w:rPr>
          <w:szCs w:val="26"/>
        </w:rPr>
      </w:pPr>
      <w:r w:rsidRPr="00C43C35">
        <w:rPr>
          <w:szCs w:val="26"/>
        </w:rPr>
        <w:t>(</w:t>
      </w:r>
      <w:proofErr w:type="gramStart"/>
      <w:r w:rsidRPr="00C43C35">
        <w:rPr>
          <w:szCs w:val="26"/>
        </w:rPr>
        <w:t>млн</w:t>
      </w:r>
      <w:proofErr w:type="gramEnd"/>
      <w:r w:rsidRPr="00C43C35">
        <w:rPr>
          <w:szCs w:val="26"/>
        </w:rPr>
        <w:t xml:space="preserve"> рублей)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069"/>
        <w:gridCol w:w="1417"/>
        <w:gridCol w:w="1559"/>
        <w:gridCol w:w="1525"/>
      </w:tblGrid>
      <w:tr w:rsidR="00C43C35" w:rsidRPr="00C43C35" w:rsidTr="004B16A0"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szCs w:val="28"/>
              </w:rPr>
            </w:pPr>
            <w:r w:rsidRPr="00C43C35">
              <w:rPr>
                <w:b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szCs w:val="28"/>
              </w:rPr>
            </w:pPr>
            <w:r w:rsidRPr="00C43C35">
              <w:rPr>
                <w:b/>
                <w:szCs w:val="28"/>
              </w:rPr>
              <w:t>2018 год</w:t>
            </w:r>
          </w:p>
        </w:tc>
        <w:tc>
          <w:tcPr>
            <w:tcW w:w="1559" w:type="dxa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szCs w:val="28"/>
              </w:rPr>
            </w:pPr>
            <w:r w:rsidRPr="00C43C35">
              <w:rPr>
                <w:b/>
                <w:szCs w:val="28"/>
              </w:rPr>
              <w:t>2019 год</w:t>
            </w:r>
          </w:p>
        </w:tc>
        <w:tc>
          <w:tcPr>
            <w:tcW w:w="1525" w:type="dxa"/>
          </w:tcPr>
          <w:p w:rsidR="00C43C35" w:rsidRPr="00C43C35" w:rsidRDefault="00C43C35" w:rsidP="00C43C35">
            <w:pPr>
              <w:spacing w:line="228" w:lineRule="auto"/>
              <w:jc w:val="center"/>
              <w:rPr>
                <w:b/>
                <w:szCs w:val="28"/>
              </w:rPr>
            </w:pPr>
            <w:r w:rsidRPr="00C43C35">
              <w:rPr>
                <w:b/>
                <w:szCs w:val="28"/>
              </w:rPr>
              <w:t>2020 год</w:t>
            </w:r>
          </w:p>
        </w:tc>
      </w:tr>
      <w:tr w:rsidR="00C43C35" w:rsidRPr="00C43C35" w:rsidTr="004B16A0">
        <w:trPr>
          <w:trHeight w:val="215"/>
        </w:trPr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rPr>
                <w:szCs w:val="28"/>
              </w:rPr>
            </w:pPr>
            <w:r w:rsidRPr="00C43C35">
              <w:rPr>
                <w:szCs w:val="28"/>
              </w:rPr>
              <w:t>Налоговые и неналоговые доходы</w:t>
            </w:r>
          </w:p>
        </w:tc>
        <w:tc>
          <w:tcPr>
            <w:tcW w:w="1417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b/>
                <w:bCs/>
              </w:rPr>
              <w:t>78 554,1</w:t>
            </w:r>
          </w:p>
        </w:tc>
        <w:tc>
          <w:tcPr>
            <w:tcW w:w="1559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b/>
                <w:bCs/>
              </w:rPr>
              <w:t>82 569,6</w:t>
            </w:r>
          </w:p>
        </w:tc>
        <w:tc>
          <w:tcPr>
            <w:tcW w:w="1525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b/>
                <w:bCs/>
              </w:rPr>
              <w:t>89 232,1</w:t>
            </w:r>
          </w:p>
        </w:tc>
      </w:tr>
      <w:tr w:rsidR="00C43C35" w:rsidRPr="00C43C35" w:rsidTr="004B16A0">
        <w:trPr>
          <w:trHeight w:val="215"/>
        </w:trPr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rPr>
                <w:i/>
                <w:sz w:val="20"/>
                <w:szCs w:val="28"/>
              </w:rPr>
            </w:pPr>
            <w:r w:rsidRPr="00C43C35">
              <w:rPr>
                <w:i/>
                <w:sz w:val="20"/>
                <w:szCs w:val="28"/>
              </w:rPr>
              <w:t>% роста к предыдущему году</w:t>
            </w:r>
          </w:p>
        </w:tc>
        <w:tc>
          <w:tcPr>
            <w:tcW w:w="1417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i/>
                <w:sz w:val="20"/>
              </w:rPr>
            </w:pPr>
            <w:r w:rsidRPr="00C43C35">
              <w:rPr>
                <w:b/>
                <w:bCs/>
                <w:i/>
                <w:sz w:val="20"/>
              </w:rPr>
              <w:t>109,0</w:t>
            </w:r>
          </w:p>
        </w:tc>
        <w:tc>
          <w:tcPr>
            <w:tcW w:w="1559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i/>
                <w:sz w:val="20"/>
              </w:rPr>
            </w:pPr>
            <w:r w:rsidRPr="00C43C35">
              <w:rPr>
                <w:b/>
                <w:bCs/>
                <w:i/>
                <w:sz w:val="20"/>
              </w:rPr>
              <w:t>105,1</w:t>
            </w:r>
          </w:p>
        </w:tc>
        <w:tc>
          <w:tcPr>
            <w:tcW w:w="1525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i/>
                <w:sz w:val="20"/>
              </w:rPr>
            </w:pPr>
            <w:r w:rsidRPr="00C43C35">
              <w:rPr>
                <w:b/>
                <w:bCs/>
                <w:i/>
                <w:sz w:val="20"/>
              </w:rPr>
              <w:t>108,1</w:t>
            </w:r>
          </w:p>
        </w:tc>
      </w:tr>
      <w:tr w:rsidR="00C43C35" w:rsidRPr="00C43C35" w:rsidTr="004B16A0"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rPr>
                <w:szCs w:val="28"/>
              </w:rPr>
            </w:pPr>
            <w:r w:rsidRPr="00C43C35">
              <w:rPr>
                <w:szCs w:val="28"/>
              </w:rPr>
              <w:t>из них</w:t>
            </w:r>
          </w:p>
        </w:tc>
        <w:tc>
          <w:tcPr>
            <w:tcW w:w="1417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</w:p>
        </w:tc>
        <w:tc>
          <w:tcPr>
            <w:tcW w:w="1525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</w:p>
        </w:tc>
      </w:tr>
      <w:tr w:rsidR="00C43C35" w:rsidRPr="00C43C35" w:rsidTr="004B16A0"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rPr>
                <w:szCs w:val="28"/>
              </w:rPr>
            </w:pPr>
            <w:r w:rsidRPr="00C43C35">
              <w:rPr>
                <w:szCs w:val="28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19018,9</w:t>
            </w:r>
          </w:p>
        </w:tc>
        <w:tc>
          <w:tcPr>
            <w:tcW w:w="1559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20228,1</w:t>
            </w:r>
          </w:p>
        </w:tc>
        <w:tc>
          <w:tcPr>
            <w:tcW w:w="1525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21498,6</w:t>
            </w:r>
          </w:p>
        </w:tc>
      </w:tr>
      <w:tr w:rsidR="00C43C35" w:rsidRPr="00C43C35" w:rsidTr="004B16A0"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rPr>
                <w:szCs w:val="28"/>
              </w:rPr>
            </w:pPr>
            <w:r w:rsidRPr="00C43C35">
              <w:rPr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30147,7</w:t>
            </w:r>
          </w:p>
        </w:tc>
        <w:tc>
          <w:tcPr>
            <w:tcW w:w="1559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31543,6</w:t>
            </w:r>
          </w:p>
        </w:tc>
        <w:tc>
          <w:tcPr>
            <w:tcW w:w="1525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33080,8</w:t>
            </w:r>
          </w:p>
        </w:tc>
      </w:tr>
      <w:tr w:rsidR="00C43C35" w:rsidRPr="00C43C35" w:rsidTr="004B16A0"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rPr>
                <w:szCs w:val="28"/>
              </w:rPr>
            </w:pPr>
            <w:r w:rsidRPr="00C43C35">
              <w:rPr>
                <w:szCs w:val="28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10023,6</w:t>
            </w:r>
          </w:p>
        </w:tc>
        <w:tc>
          <w:tcPr>
            <w:tcW w:w="1559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10351,6</w:t>
            </w:r>
          </w:p>
        </w:tc>
        <w:tc>
          <w:tcPr>
            <w:tcW w:w="1525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10983,5</w:t>
            </w:r>
          </w:p>
        </w:tc>
      </w:tr>
      <w:tr w:rsidR="00C43C35" w:rsidRPr="00C43C35" w:rsidTr="004B16A0">
        <w:tc>
          <w:tcPr>
            <w:tcW w:w="5069" w:type="dxa"/>
          </w:tcPr>
          <w:p w:rsidR="00C43C35" w:rsidRPr="00C43C35" w:rsidRDefault="00C43C35" w:rsidP="00C43C35">
            <w:pPr>
              <w:spacing w:line="228" w:lineRule="auto"/>
              <w:rPr>
                <w:szCs w:val="28"/>
              </w:rPr>
            </w:pPr>
            <w:r w:rsidRPr="00C43C35">
              <w:rPr>
                <w:szCs w:val="28"/>
              </w:rPr>
              <w:t>Неналоговые доходы</w:t>
            </w:r>
          </w:p>
        </w:tc>
        <w:tc>
          <w:tcPr>
            <w:tcW w:w="1417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2820,8</w:t>
            </w:r>
          </w:p>
        </w:tc>
        <w:tc>
          <w:tcPr>
            <w:tcW w:w="1559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2802,5</w:t>
            </w:r>
          </w:p>
        </w:tc>
        <w:tc>
          <w:tcPr>
            <w:tcW w:w="1525" w:type="dxa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szCs w:val="28"/>
              </w:rPr>
            </w:pPr>
            <w:r w:rsidRPr="00C43C35">
              <w:rPr>
                <w:szCs w:val="28"/>
              </w:rPr>
              <w:t>2778,8</w:t>
            </w:r>
          </w:p>
        </w:tc>
      </w:tr>
    </w:tbl>
    <w:p w:rsidR="00C43C35" w:rsidRPr="00C43C35" w:rsidRDefault="00C43C35" w:rsidP="00C43C35">
      <w:pPr>
        <w:rPr>
          <w:szCs w:val="28"/>
        </w:rPr>
      </w:pPr>
    </w:p>
    <w:p w:rsidR="00C43C35" w:rsidRPr="00C43C35" w:rsidRDefault="00C43C35" w:rsidP="00C43C3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C43C35">
        <w:rPr>
          <w:sz w:val="28"/>
          <w:szCs w:val="28"/>
        </w:rPr>
        <w:t>Учтено поступление реструктурированной задолженности, подлежащей погашению в 2018 году, недоимки прошлых лет по отмененным налогам и сборам, дополнительные поступления за счет повышения эффективности контрольной работы налоговых органов, а также бюджетный эффект от реализации Плана мероприятий по оздоровлению и Плана мероприятий по устранению с 1 января 2018 года неэффективных льгот (пониженных ставок по налогам), установленных законодательством Саратовской области о налогах и</w:t>
      </w:r>
      <w:proofErr w:type="gramEnd"/>
      <w:r w:rsidRPr="00C43C35">
        <w:rPr>
          <w:sz w:val="28"/>
          <w:szCs w:val="28"/>
        </w:rPr>
        <w:t xml:space="preserve"> </w:t>
      </w:r>
      <w:proofErr w:type="gramStart"/>
      <w:r w:rsidRPr="00C43C35">
        <w:rPr>
          <w:sz w:val="28"/>
          <w:szCs w:val="28"/>
        </w:rPr>
        <w:t>сборах</w:t>
      </w:r>
      <w:proofErr w:type="gramEnd"/>
      <w:r w:rsidRPr="00C43C35">
        <w:rPr>
          <w:sz w:val="28"/>
          <w:szCs w:val="28"/>
        </w:rPr>
        <w:t xml:space="preserve">, утвержденного распоряжением Правительства Саратовской области от 30 июня 2017 года № 146-Пр. По указанным основаниям планируются поступления в областной бюджет  в 2018 году в сумме 2670,5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в 2019-2020 годах – по 2677,4 млн рублей ежегодно.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contextualSpacing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Основными </w:t>
      </w:r>
      <w:proofErr w:type="spellStart"/>
      <w:r w:rsidRPr="00C43C35">
        <w:rPr>
          <w:spacing w:val="-6"/>
          <w:sz w:val="28"/>
          <w:szCs w:val="28"/>
        </w:rPr>
        <w:t>бюджетообразующими</w:t>
      </w:r>
      <w:proofErr w:type="spellEnd"/>
      <w:r w:rsidRPr="00C43C35">
        <w:rPr>
          <w:spacing w:val="-6"/>
          <w:sz w:val="28"/>
          <w:szCs w:val="28"/>
        </w:rPr>
        <w:t xml:space="preserve"> доходами областного бюджета являются налог на прибыль организаций, налог на доходы физических лиц, налог на имущество организаций, в </w:t>
      </w:r>
      <w:proofErr w:type="gramStart"/>
      <w:r w:rsidRPr="00C43C35">
        <w:rPr>
          <w:spacing w:val="-6"/>
          <w:sz w:val="28"/>
          <w:szCs w:val="28"/>
        </w:rPr>
        <w:t>совокупности</w:t>
      </w:r>
      <w:proofErr w:type="gramEnd"/>
      <w:r w:rsidRPr="00C43C35">
        <w:rPr>
          <w:spacing w:val="-6"/>
          <w:sz w:val="28"/>
          <w:szCs w:val="28"/>
        </w:rPr>
        <w:t xml:space="preserve"> формирующие в 2018 году 80,4% </w:t>
      </w:r>
      <w:r w:rsidRPr="00C43C35">
        <w:rPr>
          <w:spacing w:val="-6"/>
          <w:sz w:val="28"/>
          <w:szCs w:val="28"/>
        </w:rPr>
        <w:lastRenderedPageBreak/>
        <w:t xml:space="preserve">налоговых и неналоговых доходов областного бюджета, в 2019-2020 годах – 75,2%, и 73,5% соответственно. </w:t>
      </w:r>
    </w:p>
    <w:p w:rsidR="00C43C35" w:rsidRPr="00C43C35" w:rsidRDefault="00C43C35" w:rsidP="00C43C35">
      <w:pPr>
        <w:ind w:firstLineChars="253" w:firstLine="708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Общий объем безвозмездных поступлений целевой направленности сформирован исходя из объемов межбюджетных трансфертов, предусмотренных в проекте федерального закона «О федеральном бюджете на  2018 год и на плановый период 2019 и 2020 годов» (далее – проект закона о федеральном бюджете) (в 2018 году – 6277,4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рублей), данных главных администраторов доходов областного бюджета (в 2018 году – иных межбюджетных трансфертов на содержание депутатов и их помощников – 22,1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рублей) и ожидаемого (в связи с отсутствием их распределения в проекте закона о федеральном бюджете) объема дотаций на выравнивание бюджетной обеспеченности и на поддержку мер по обеспечению сбалансированности бюджета (в 2018 году – 8495,3 млн рублей и 505,1 млн рублей соответственно). </w:t>
      </w:r>
    </w:p>
    <w:p w:rsidR="00C43C35" w:rsidRPr="00C43C35" w:rsidRDefault="00C43C35" w:rsidP="00C43C35">
      <w:pPr>
        <w:ind w:firstLineChars="253" w:firstLine="708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Структура безвозмездных поступлений представлена в следующей таблице:</w:t>
      </w:r>
    </w:p>
    <w:p w:rsidR="00C43C35" w:rsidRPr="00C43C35" w:rsidRDefault="00C43C35" w:rsidP="00C43C35">
      <w:pPr>
        <w:ind w:firstLineChars="253" w:firstLine="607"/>
        <w:jc w:val="right"/>
      </w:pPr>
      <w:r w:rsidRPr="00C43C35">
        <w:t>(</w:t>
      </w:r>
      <w:proofErr w:type="gramStart"/>
      <w:r w:rsidRPr="00C43C35">
        <w:t>млн</w:t>
      </w:r>
      <w:proofErr w:type="gramEnd"/>
      <w:r w:rsidRPr="00C43C35">
        <w:t xml:space="preserve">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1276"/>
        <w:gridCol w:w="1134"/>
        <w:gridCol w:w="1134"/>
        <w:gridCol w:w="1134"/>
      </w:tblGrid>
      <w:tr w:rsidR="00C43C35" w:rsidRPr="00C43C35" w:rsidTr="004B16A0">
        <w:trPr>
          <w:trHeight w:val="348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Показатели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  <w:lang w:val="en-US"/>
              </w:rPr>
              <w:t>201</w:t>
            </w:r>
            <w:r w:rsidRPr="00C43C35">
              <w:rPr>
                <w:b/>
                <w:bCs/>
              </w:rPr>
              <w:t>7</w:t>
            </w:r>
            <w:r w:rsidRPr="00C43C35">
              <w:rPr>
                <w:b/>
                <w:bCs/>
                <w:lang w:val="en-US"/>
              </w:rPr>
              <w:t xml:space="preserve"> </w:t>
            </w:r>
            <w:r w:rsidRPr="00C43C35">
              <w:rPr>
                <w:b/>
                <w:bCs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2020 год</w:t>
            </w:r>
          </w:p>
        </w:tc>
      </w:tr>
      <w:tr w:rsidR="00C43C35" w:rsidRPr="00C43C35" w:rsidTr="004B16A0">
        <w:trPr>
          <w:trHeight w:val="720"/>
          <w:tblHeader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47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C43C35">
              <w:rPr>
                <w:bCs/>
                <w:sz w:val="20"/>
                <w:szCs w:val="20"/>
              </w:rPr>
              <w:t>Первон</w:t>
            </w:r>
            <w:proofErr w:type="gramStart"/>
            <w:r w:rsidRPr="00C43C35">
              <w:rPr>
                <w:bCs/>
                <w:sz w:val="20"/>
                <w:szCs w:val="20"/>
              </w:rPr>
              <w:t>а</w:t>
            </w:r>
            <w:proofErr w:type="spellEnd"/>
            <w:r w:rsidRPr="00C43C35">
              <w:rPr>
                <w:bCs/>
                <w:sz w:val="20"/>
                <w:szCs w:val="20"/>
              </w:rPr>
              <w:t>-</w:t>
            </w:r>
            <w:proofErr w:type="gramEnd"/>
            <w:r w:rsidRPr="00C43C35">
              <w:rPr>
                <w:bCs/>
                <w:sz w:val="20"/>
                <w:szCs w:val="20"/>
              </w:rPr>
              <w:br/>
            </w:r>
            <w:proofErr w:type="spellStart"/>
            <w:r w:rsidRPr="00C43C35">
              <w:rPr>
                <w:bCs/>
                <w:sz w:val="20"/>
                <w:szCs w:val="20"/>
              </w:rPr>
              <w:t>чальный</w:t>
            </w:r>
            <w:proofErr w:type="spellEnd"/>
            <w:r w:rsidRPr="00C43C35">
              <w:rPr>
                <w:bCs/>
                <w:sz w:val="20"/>
                <w:szCs w:val="20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C43C35">
              <w:rPr>
                <w:bCs/>
                <w:sz w:val="20"/>
                <w:szCs w:val="20"/>
              </w:rPr>
              <w:t>ут</w:t>
            </w:r>
            <w:proofErr w:type="spellEnd"/>
            <w:r w:rsidRPr="00C43C35">
              <w:rPr>
                <w:bCs/>
                <w:sz w:val="20"/>
                <w:szCs w:val="20"/>
              </w:rPr>
              <w:t>. план на 01.09.02017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47" w:lineRule="auto"/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spacing w:line="228" w:lineRule="auto"/>
              <w:rPr>
                <w:b/>
                <w:bCs/>
              </w:rPr>
            </w:pPr>
            <w:r w:rsidRPr="00C43C35">
              <w:rPr>
                <w:b/>
                <w:bCs/>
              </w:rPr>
              <w:t>Безвозмездные поступления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sz w:val="22"/>
              </w:rPr>
            </w:pPr>
            <w:r w:rsidRPr="00C43C35">
              <w:rPr>
                <w:b/>
                <w:bCs/>
                <w:color w:val="000000"/>
                <w:sz w:val="22"/>
              </w:rPr>
              <w:t>14496,6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sz w:val="22"/>
              </w:rPr>
            </w:pPr>
            <w:r w:rsidRPr="00C43C35">
              <w:rPr>
                <w:b/>
                <w:bCs/>
                <w:color w:val="000000"/>
                <w:sz w:val="22"/>
              </w:rPr>
              <w:t>21653,6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sz w:val="22"/>
              </w:rPr>
            </w:pPr>
            <w:r w:rsidRPr="00C43C35">
              <w:rPr>
                <w:b/>
                <w:bCs/>
                <w:color w:val="000000"/>
                <w:sz w:val="22"/>
              </w:rPr>
              <w:t>152300,0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sz w:val="22"/>
              </w:rPr>
            </w:pPr>
            <w:r w:rsidRPr="00C43C35">
              <w:rPr>
                <w:b/>
                <w:bCs/>
                <w:color w:val="000000"/>
                <w:sz w:val="22"/>
              </w:rPr>
              <w:t>14010,5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/>
                <w:bCs/>
                <w:color w:val="000000"/>
                <w:sz w:val="22"/>
              </w:rPr>
            </w:pPr>
            <w:r w:rsidRPr="00C43C35">
              <w:rPr>
                <w:b/>
                <w:bCs/>
                <w:color w:val="000000"/>
                <w:sz w:val="22"/>
              </w:rPr>
              <w:t>14003,6</w:t>
            </w: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Cs/>
              </w:rPr>
            </w:pPr>
            <w:r w:rsidRPr="00C43C35">
              <w:rPr>
                <w:bCs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sz w:val="22"/>
              </w:rPr>
              <w:t>14496,6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sz w:val="22"/>
              </w:rPr>
              <w:t>19531,0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sz w:val="22"/>
              </w:rPr>
              <w:t>152300,0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sz w:val="22"/>
              </w:rPr>
              <w:t>14010,5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sz w:val="22"/>
              </w:rPr>
              <w:t>14003,6</w:t>
            </w: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459"/>
              <w:rPr>
                <w:bCs/>
              </w:rPr>
            </w:pPr>
            <w:r w:rsidRPr="00C43C35">
              <w:rPr>
                <w:bCs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9114,3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 xml:space="preserve">9114,3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9109,7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8582,6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8581,6</w:t>
            </w: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459"/>
              <w:rPr>
                <w:bCs/>
              </w:rPr>
            </w:pPr>
            <w:r w:rsidRPr="00C43C35">
              <w:rPr>
                <w:bCs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2003,9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 xml:space="preserve">4910,9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2661,8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2070,2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2034,1</w:t>
            </w:r>
          </w:p>
        </w:tc>
      </w:tr>
      <w:tr w:rsidR="00C43C35" w:rsidRPr="00C43C35" w:rsidTr="004B16A0">
        <w:trPr>
          <w:trHeight w:val="15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459"/>
              <w:rPr>
                <w:bCs/>
              </w:rPr>
            </w:pPr>
            <w:r w:rsidRPr="00C43C35">
              <w:rPr>
                <w:bCs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3253,5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 xml:space="preserve">3925,6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3404,6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3237,6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3267,8</w:t>
            </w: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459"/>
              <w:rPr>
                <w:bCs/>
              </w:rPr>
            </w:pPr>
            <w:r w:rsidRPr="00C43C35">
              <w:rPr>
                <w:bCs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124,9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 xml:space="preserve">1580,2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123,9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120,1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120,1</w:t>
            </w: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Cs/>
              </w:rPr>
            </w:pPr>
            <w:r w:rsidRPr="00C43C35">
              <w:rPr>
                <w:bCs/>
              </w:rPr>
              <w:t xml:space="preserve">поступления от Пенсионного фонда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sz w:val="22"/>
              </w:rPr>
              <w:t>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Cs/>
                <w:spacing w:val="-8"/>
              </w:rPr>
            </w:pPr>
            <w:r w:rsidRPr="00C43C35">
              <w:rPr>
                <w:bCs/>
                <w:spacing w:val="-8"/>
              </w:rPr>
              <w:t xml:space="preserve">поступления от государственной корпорации – Фонда содействия реформированию жилищно-коммунального хозяйства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color w:val="000000"/>
                <w:sz w:val="22"/>
              </w:rPr>
              <w:t>2074,2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spacing w:line="228" w:lineRule="auto"/>
              <w:ind w:left="176"/>
              <w:rPr>
                <w:bCs/>
                <w:spacing w:val="-8"/>
              </w:rPr>
            </w:pPr>
            <w:r w:rsidRPr="00C43C35">
              <w:rPr>
                <w:bCs/>
                <w:spacing w:val="-8"/>
              </w:rPr>
              <w:t>прочие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  <w:r w:rsidRPr="00C43C35">
              <w:rPr>
                <w:bCs/>
                <w:sz w:val="22"/>
              </w:rPr>
              <w:t>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8" w:lineRule="auto"/>
              <w:jc w:val="right"/>
              <w:rPr>
                <w:bCs/>
                <w:color w:val="000000"/>
                <w:sz w:val="22"/>
              </w:rPr>
            </w:pPr>
          </w:p>
        </w:tc>
      </w:tr>
    </w:tbl>
    <w:p w:rsidR="00C43C35" w:rsidRPr="00C43C35" w:rsidRDefault="00C43C35" w:rsidP="00C43C35">
      <w:pPr>
        <w:jc w:val="center"/>
        <w:rPr>
          <w:b/>
          <w:sz w:val="28"/>
          <w:szCs w:val="28"/>
        </w:rPr>
      </w:pPr>
    </w:p>
    <w:p w:rsidR="00C43C35" w:rsidRPr="00C43C35" w:rsidRDefault="00C43C35" w:rsidP="00C43C35">
      <w:pPr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  <w:lang w:val="en-US"/>
        </w:rPr>
        <w:t>V</w:t>
      </w:r>
      <w:r w:rsidRPr="00C43C35">
        <w:rPr>
          <w:b/>
          <w:sz w:val="28"/>
          <w:szCs w:val="28"/>
        </w:rPr>
        <w:t xml:space="preserve">. Расходы консолидированного бюджета </w:t>
      </w:r>
    </w:p>
    <w:p w:rsidR="00C43C35" w:rsidRPr="00C43C35" w:rsidRDefault="00C43C35" w:rsidP="00C43C35">
      <w:pPr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</w:rPr>
        <w:t>Саратовской области на 2018-2020 годы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  <w:highlight w:val="yellow"/>
        </w:rPr>
      </w:pP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OLE_LINK1"/>
      <w:bookmarkStart w:id="1" w:name="OLE_LINK2"/>
      <w:r w:rsidRPr="00C43C35">
        <w:rPr>
          <w:sz w:val="28"/>
          <w:szCs w:val="28"/>
        </w:rPr>
        <w:t>Формирование бюджетных проектировок на 2018-2020 годы осуществлялось на следующих основных принципах: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соблюдение установленных законодательством Российской Федерации норм в отношении дорожных фондов;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резервирование средств в общей сумме 959,7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 с установлением отдельного порядка их использования на достижение установленных целевых значений по заработной платы отдельных категорий </w:t>
      </w:r>
      <w:r w:rsidRPr="00C43C35">
        <w:rPr>
          <w:sz w:val="28"/>
          <w:szCs w:val="28"/>
        </w:rPr>
        <w:lastRenderedPageBreak/>
        <w:t xml:space="preserve">работников бюджетной сферы, установленных Указами, на повышение с </w:t>
      </w:r>
      <w:r w:rsidRPr="00C43C35">
        <w:rPr>
          <w:sz w:val="28"/>
          <w:szCs w:val="28"/>
        </w:rPr>
        <w:br/>
        <w:t>1 января 2018 года на 4% заработной платы работников, на которых не распространяются Указы, на стимулирование муниципальных образований области для полной мобилизации налогового потенциала территорий;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proofErr w:type="gramStart"/>
      <w:r w:rsidRPr="00C43C35">
        <w:rPr>
          <w:sz w:val="28"/>
          <w:szCs w:val="28"/>
        </w:rPr>
        <w:t>– индексации оплаты труда работников бюджетной сферы и органов управления ежегодно с 1 декабря в 2018-2020 годах на прогнозный уровень инфляции 3,8% (по категориям работников бюджетной сферы, установленных Указами, – в пределах установленных целевых значений по заработной плате, по категориям работников, на которых не распространяются Указы, – в пределах сумм повышения с 1 января 2018 года на 4%).</w:t>
      </w:r>
      <w:proofErr w:type="gramEnd"/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проведение ежегодно с 1 декабря в 2018-2020 годах установленной действующим законодательством индексации социальных и иных выплат населению на прогнозный уровень инфляции 3,8%;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43C35">
        <w:rPr>
          <w:sz w:val="28"/>
          <w:szCs w:val="28"/>
        </w:rPr>
        <w:t>– ежегодного перерасчета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в денежной форме в соответствии со средним ростом расходов: в 2018 году – не выше 4,3% (к уровню 2017 года), 2019 году – не выше 3,6% (к уровню 2018 года) и в 2020 году – не выше</w:t>
      </w:r>
      <w:proofErr w:type="gramEnd"/>
      <w:r w:rsidRPr="00C43C35">
        <w:rPr>
          <w:sz w:val="28"/>
          <w:szCs w:val="28"/>
        </w:rPr>
        <w:t xml:space="preserve"> 3,5% (к уровню 2019 года);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 сохранение на уровне 1 июня 2017 года номинальных объемов бюджетных расходов областного бюджета по другим направлениям, уменьшенных на сумму расходов по погашению просроченной кредиторской задолженности (судебных решений) и сумму непостоянных расходов;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оптимизация обязательств, в том числе в рамках реализации Плана мероприятий по оздоровлению и Программы оптимизации расходов;   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отказ от предоставления государственных гарантий и принятия новых расходных обязательств за счет привлечения рыночных заимствований;</w:t>
      </w:r>
    </w:p>
    <w:bookmarkEnd w:id="0"/>
    <w:bookmarkEnd w:id="1"/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 оценка расходов местных бюджетов на основании отчетности органов местного самоуправления области за 2016 год, нормирования затрат, а также с учетом планируемых демографических изменений.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В структуре расходов консолидированного бюджета порядка 70% занимают расходы на социальную сферу. Общий объем расходов на социальную сферу в 2018 году ожидается в сумме 64888,1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в </w:t>
      </w:r>
      <w:r w:rsidRPr="00C43C35">
        <w:rPr>
          <w:sz w:val="28"/>
          <w:szCs w:val="28"/>
        </w:rPr>
        <w:br/>
        <w:t>2019 году –</w:t>
      </w:r>
      <w:r w:rsidRPr="00C43C35">
        <w:t xml:space="preserve"> </w:t>
      </w:r>
      <w:r w:rsidRPr="00C43C35">
        <w:rPr>
          <w:sz w:val="28"/>
          <w:szCs w:val="28"/>
        </w:rPr>
        <w:t xml:space="preserve">65662,0 млн рублей, в 2020 году – 67381,9 млн рублей 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В соответствии с требованиями статьи 8 Федерального закона «Об образовании в Российской Федерации» местным бюджетам в 2018 году будет продолжено предоставление субвенций, не предполагающих передачу на местный уровень исполнения полномочий субъекта Российской Федерации, для финансового обеспечения образовательной деятельности муниципальных общеобразовательных и дошкольных образовательных организаций в общем объеме в 2018 году 14574,6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рублей, в 2019 и 2020 годах – 14995,8 млн рублей и 15569,3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 соответственно.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lastRenderedPageBreak/>
        <w:t xml:space="preserve">Расходы на выполнение социальных обязательств перед населением области в 2018 году предусмотрены исходя из действующего законодательства, определяющего категории получателей, порядок и формы предоставления мер социальной поддержки, и составляют 12840,1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 (без учета расходов на ОМС неработающего населения), в том числе за счет поступления федеральных целевых средств на социальные выплаты гражданам (в соответствии с проектом закона о федеральном бюджете) в объеме 3082,8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рублей.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Средства областного бюджета на выполнение социальных обязательств составят 9757,3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 или 105,2% к уровню 2017 года (к ожидаемому исполнению 2017 года).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Выплаты населению в денежной форме за счет средств областного и федерального бюджетов в 2018 году составят 9226,6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рублей.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С 1 декабря 2018 года предусмотрена индексация на прогнозный уровень инфляции 3,8% 17 видов пособий и денежных выплат 10 категориям региональных льготников в соответствии с действующим законодательством, а именно: 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пособия на ребенка гражданам, проживающим на территории Саратовской области;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ежемесячных доплат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дополнительного единовременного пособия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размера регионального материнского (семейного) капитала (его части) семьям, имеющим детей, место жительство которых находится на территории Саратовской области;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proofErr w:type="gramStart"/>
      <w:r w:rsidRPr="00C43C35">
        <w:rPr>
          <w:spacing w:val="-6"/>
          <w:sz w:val="28"/>
          <w:szCs w:val="28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C43C35">
        <w:rPr>
          <w:spacing w:val="-6"/>
          <w:sz w:val="28"/>
          <w:szCs w:val="28"/>
        </w:rPr>
        <w:t xml:space="preserve"> от политических репрессий, </w:t>
      </w:r>
      <w:proofErr w:type="gramStart"/>
      <w:r w:rsidRPr="00C43C35">
        <w:rPr>
          <w:spacing w:val="-6"/>
          <w:sz w:val="28"/>
          <w:szCs w:val="28"/>
        </w:rPr>
        <w:t>проживающим</w:t>
      </w:r>
      <w:proofErr w:type="gramEnd"/>
      <w:r w:rsidRPr="00C43C35">
        <w:rPr>
          <w:spacing w:val="-6"/>
          <w:sz w:val="28"/>
          <w:szCs w:val="28"/>
        </w:rPr>
        <w:t xml:space="preserve"> на территории Саратовской области;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расходов на погребение реабилитированных лиц, проживавших на территории Саратовской области;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lastRenderedPageBreak/>
        <w:t>ежемесячных денежных выплат опекуну (попечителю) на содержание детей-сирот и детей, оставшихся без попечения родителей, переданных под опеку (попечительство);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ежемесячных денежных выплат лицам из числа детей-сирот и детей, оставшихся без попечения родителей, до получения ими среднего (полного) общего образования, но не более чем до достижения возраста 19 лет;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Саратовской области;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>всех видов ежемесячных денежных средств на содержание ребенка (детей) в приемной семье.</w:t>
      </w:r>
    </w:p>
    <w:p w:rsidR="00C43C35" w:rsidRPr="00C43C35" w:rsidRDefault="00C43C35" w:rsidP="00C43C35">
      <w:pPr>
        <w:ind w:firstLine="709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На реализацию мероприятий по созданию в Саратовской области новых мест в общеобразовательных организациях в соответствии с прогнозируемой потребностью и современными требованиями к условиям обучения на 2018 год предусмотрены бюджетные ассигнования в объеме 618,1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рублей, в том числе за счет средств областного бюджета в сумме 120,4 млн рублей и соответствующей субсидии из федерального бюджета в сумме 497,7 млн рублей (приобретение (</w:t>
      </w:r>
      <w:proofErr w:type="gramStart"/>
      <w:r w:rsidRPr="00C43C35">
        <w:rPr>
          <w:spacing w:val="-6"/>
          <w:sz w:val="28"/>
          <w:szCs w:val="28"/>
        </w:rPr>
        <w:t>выкуп) здания школы г. Энгельс на 1100 мест).</w:t>
      </w:r>
      <w:proofErr w:type="gramEnd"/>
    </w:p>
    <w:p w:rsidR="00C43C35" w:rsidRPr="00C43C35" w:rsidRDefault="00C43C35" w:rsidP="00C43C3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43C35">
        <w:rPr>
          <w:spacing w:val="-6"/>
          <w:sz w:val="28"/>
          <w:szCs w:val="28"/>
        </w:rPr>
        <w:t xml:space="preserve">В соответствии с Федеральным Законом от 4 декабря 2007 года «О Физической культуре и спорте в Российской Федерации», Федеральными стандартами спортивной подготовки, утвержденными в приказами </w:t>
      </w:r>
      <w:proofErr w:type="spellStart"/>
      <w:r w:rsidRPr="00C43C35">
        <w:rPr>
          <w:spacing w:val="-6"/>
          <w:sz w:val="28"/>
          <w:szCs w:val="28"/>
        </w:rPr>
        <w:t>Минспорта</w:t>
      </w:r>
      <w:proofErr w:type="spellEnd"/>
      <w:r w:rsidRPr="00C43C35">
        <w:rPr>
          <w:spacing w:val="-6"/>
          <w:sz w:val="28"/>
          <w:szCs w:val="28"/>
        </w:rPr>
        <w:t xml:space="preserve"> России и с целью сохранения и развития спортивного резерва, создания условий для подготовки высококвалифицированных спортсменов, способных показывать высокие результаты на соревнованиях различного уровня государственные областные детско-юношеские спортивные школы переведены в спортивные школы олимпийского резерва</w:t>
      </w:r>
      <w:proofErr w:type="gramEnd"/>
      <w:r w:rsidRPr="00C43C35">
        <w:rPr>
          <w:spacing w:val="-6"/>
          <w:sz w:val="28"/>
          <w:szCs w:val="28"/>
        </w:rPr>
        <w:t xml:space="preserve"> из учреждений дополнительного образования в учреждения спортивной </w:t>
      </w:r>
      <w:r w:rsidRPr="00C43C35">
        <w:rPr>
          <w:rFonts w:eastAsia="Calibri"/>
          <w:sz w:val="28"/>
          <w:szCs w:val="28"/>
          <w:lang w:eastAsia="en-US"/>
        </w:rPr>
        <w:t>подготовки.</w:t>
      </w:r>
    </w:p>
    <w:p w:rsidR="00C43C35" w:rsidRPr="00C43C35" w:rsidRDefault="00C43C35" w:rsidP="00C43C35">
      <w:pPr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C43C35">
        <w:rPr>
          <w:rFonts w:eastAsia="Calibri"/>
          <w:spacing w:val="-6"/>
          <w:sz w:val="28"/>
          <w:szCs w:val="28"/>
          <w:lang w:eastAsia="en-US"/>
        </w:rPr>
        <w:t xml:space="preserve">На 2018-2020 годы для Саратовской области федеральным центром установлен предельный уровень </w:t>
      </w:r>
      <w:proofErr w:type="spellStart"/>
      <w:r w:rsidRPr="00C43C35">
        <w:rPr>
          <w:rFonts w:eastAsia="Calibri"/>
          <w:spacing w:val="-6"/>
          <w:sz w:val="28"/>
          <w:szCs w:val="28"/>
          <w:lang w:eastAsia="en-US"/>
        </w:rPr>
        <w:t>софинансирования</w:t>
      </w:r>
      <w:proofErr w:type="spellEnd"/>
      <w:r w:rsidRPr="00C43C35">
        <w:rPr>
          <w:rFonts w:eastAsia="Calibri"/>
          <w:spacing w:val="-6"/>
          <w:sz w:val="28"/>
          <w:szCs w:val="28"/>
          <w:lang w:eastAsia="en-US"/>
        </w:rPr>
        <w:t xml:space="preserve"> расходного обязательства субъекта Российской Федерации из федерального бюджета в размере 89%, что на 5 процентных пунктов выше уровня 2017 года. В проекте областного бюджета на 2018 год в целях обеспечения условий федерального </w:t>
      </w:r>
      <w:proofErr w:type="spellStart"/>
      <w:r w:rsidRPr="00C43C35">
        <w:rPr>
          <w:rFonts w:eastAsia="Calibri"/>
          <w:spacing w:val="-6"/>
          <w:sz w:val="28"/>
          <w:szCs w:val="28"/>
          <w:lang w:eastAsia="en-US"/>
        </w:rPr>
        <w:t>софинансирования</w:t>
      </w:r>
      <w:proofErr w:type="spellEnd"/>
      <w:r w:rsidRPr="00C43C35">
        <w:rPr>
          <w:rFonts w:eastAsia="Calibri"/>
          <w:spacing w:val="-6"/>
          <w:sz w:val="28"/>
          <w:szCs w:val="28"/>
          <w:lang w:eastAsia="en-US"/>
        </w:rPr>
        <w:t xml:space="preserve"> предусмотрено 1515,9 </w:t>
      </w:r>
      <w:proofErr w:type="gramStart"/>
      <w:r w:rsidRPr="00C43C35">
        <w:rPr>
          <w:rFonts w:eastAsia="Calibri"/>
          <w:spacing w:val="-6"/>
          <w:sz w:val="28"/>
          <w:szCs w:val="28"/>
          <w:lang w:eastAsia="en-US"/>
        </w:rPr>
        <w:t>млн</w:t>
      </w:r>
      <w:proofErr w:type="gramEnd"/>
      <w:r w:rsidRPr="00C43C35">
        <w:rPr>
          <w:rFonts w:eastAsia="Calibri"/>
          <w:spacing w:val="-6"/>
          <w:sz w:val="28"/>
          <w:szCs w:val="28"/>
          <w:lang w:eastAsia="en-US"/>
        </w:rPr>
        <w:t xml:space="preserve"> рублей, на которые ожидается привлечь порядка </w:t>
      </w:r>
      <w:r w:rsidRPr="00C43C35">
        <w:rPr>
          <w:rFonts w:eastAsia="Calibri"/>
          <w:spacing w:val="-6"/>
          <w:sz w:val="28"/>
          <w:szCs w:val="28"/>
          <w:lang w:eastAsia="en-US"/>
        </w:rPr>
        <w:br/>
        <w:t xml:space="preserve">5,5 млрд рублей субсидий из федерального бюджета. Однако в проекте закона о федеральном бюджете на 2018 год между субъектами Российской Федерации распределена только часть субсидий, из которых Саратовской области предусмотрено 2661,8 </w:t>
      </w:r>
      <w:proofErr w:type="gramStart"/>
      <w:r w:rsidRPr="00C43C35">
        <w:rPr>
          <w:rFonts w:eastAsia="Calibri"/>
          <w:spacing w:val="-6"/>
          <w:sz w:val="28"/>
          <w:szCs w:val="28"/>
          <w:lang w:eastAsia="en-US"/>
        </w:rPr>
        <w:t>млн</w:t>
      </w:r>
      <w:proofErr w:type="gramEnd"/>
      <w:r w:rsidRPr="00C43C35">
        <w:rPr>
          <w:rFonts w:eastAsia="Calibri"/>
          <w:spacing w:val="-6"/>
          <w:sz w:val="28"/>
          <w:szCs w:val="28"/>
          <w:lang w:eastAsia="en-US"/>
        </w:rPr>
        <w:t xml:space="preserve"> рублей.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Государственная поддержка сельского хозяйства будет осуществляться в рамках государственной программы «</w:t>
      </w:r>
      <w:r w:rsidRPr="00C43C35">
        <w:rPr>
          <w:bCs/>
          <w:sz w:val="28"/>
          <w:szCs w:val="28"/>
        </w:rPr>
        <w:t xml:space="preserve">Развитие сельского хозяйства и регулирование рынков сельскохозяйственной продукции, сырья и продовольствия в Саратовской области на 2014-2020 годы» с </w:t>
      </w:r>
      <w:r w:rsidRPr="00C43C35">
        <w:rPr>
          <w:sz w:val="28"/>
        </w:rPr>
        <w:t>концентрацией финансовых ресурсов на наиболее значимых с точки зрения выполнения показателей продовольственной безопасности области направлениях,</w:t>
      </w:r>
      <w:r w:rsidRPr="00C43C35">
        <w:rPr>
          <w:bCs/>
          <w:sz w:val="28"/>
          <w:szCs w:val="28"/>
        </w:rPr>
        <w:t xml:space="preserve"> </w:t>
      </w:r>
      <w:proofErr w:type="spellStart"/>
      <w:r w:rsidRPr="00C43C35">
        <w:rPr>
          <w:sz w:val="28"/>
          <w:szCs w:val="28"/>
        </w:rPr>
        <w:t>софинансируемых</w:t>
      </w:r>
      <w:proofErr w:type="spellEnd"/>
      <w:r w:rsidRPr="00C43C35">
        <w:rPr>
          <w:sz w:val="28"/>
          <w:szCs w:val="28"/>
        </w:rPr>
        <w:t xml:space="preserve"> из федерального бюджета, на реализацию которой </w:t>
      </w:r>
      <w:r w:rsidRPr="00C43C35">
        <w:rPr>
          <w:sz w:val="28"/>
          <w:szCs w:val="28"/>
        </w:rPr>
        <w:lastRenderedPageBreak/>
        <w:t xml:space="preserve">предусмотрено в 2018 году направить 2265,1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в 2019 году – 2103,0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 и в 2020 году – 2091,7 млн рублей.</w:t>
      </w:r>
    </w:p>
    <w:p w:rsidR="00C43C35" w:rsidRPr="00C43C35" w:rsidRDefault="00C43C35" w:rsidP="00C43C35">
      <w:pPr>
        <w:ind w:firstLine="709"/>
        <w:jc w:val="both"/>
        <w:outlineLvl w:val="0"/>
        <w:rPr>
          <w:sz w:val="28"/>
        </w:rPr>
      </w:pPr>
      <w:r w:rsidRPr="00C43C35">
        <w:rPr>
          <w:sz w:val="28"/>
          <w:szCs w:val="28"/>
        </w:rPr>
        <w:t xml:space="preserve">В целях </w:t>
      </w:r>
      <w:proofErr w:type="spellStart"/>
      <w:r w:rsidRPr="00C43C35">
        <w:rPr>
          <w:sz w:val="28"/>
          <w:szCs w:val="28"/>
        </w:rPr>
        <w:t>софинансирования</w:t>
      </w:r>
      <w:proofErr w:type="spellEnd"/>
      <w:r w:rsidRPr="00C43C35">
        <w:rPr>
          <w:sz w:val="28"/>
          <w:szCs w:val="28"/>
        </w:rPr>
        <w:t xml:space="preserve"> расходных обязательств области в соответствии с проектом закона о федеральном бюджете и предварительно согласованными («парафированными») с Минсельхозом России проектами соглашений ожидается поступление субсидии </w:t>
      </w:r>
      <w:r w:rsidRPr="00C43C35">
        <w:rPr>
          <w:color w:val="000000"/>
          <w:sz w:val="28"/>
          <w:szCs w:val="28"/>
        </w:rPr>
        <w:t xml:space="preserve">из федерального бюджета </w:t>
      </w:r>
      <w:r w:rsidRPr="00C43C35">
        <w:rPr>
          <w:sz w:val="28"/>
        </w:rPr>
        <w:t xml:space="preserve">в 2018 году в размере 1664,6 </w:t>
      </w:r>
      <w:proofErr w:type="gramStart"/>
      <w:r w:rsidRPr="00C43C35">
        <w:rPr>
          <w:sz w:val="28"/>
        </w:rPr>
        <w:t>млн</w:t>
      </w:r>
      <w:proofErr w:type="gramEnd"/>
      <w:r w:rsidRPr="00C43C35">
        <w:rPr>
          <w:sz w:val="28"/>
        </w:rPr>
        <w:t xml:space="preserve"> рублей, в 2019 году – 1494,8 млн рублей и в 2020 году – 1475,4 млн рублей, в том числе:</w:t>
      </w:r>
    </w:p>
    <w:p w:rsidR="00C43C35" w:rsidRPr="00C43C35" w:rsidRDefault="00C43C35" w:rsidP="00C43C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C35">
        <w:rPr>
          <w:color w:val="000000"/>
          <w:sz w:val="28"/>
          <w:szCs w:val="28"/>
        </w:rPr>
        <w:t xml:space="preserve">на оказание несвязанной поддержки сельскохозяйственным товаропроизводителям в области растениеводства </w:t>
      </w:r>
      <w:r w:rsidRPr="00C43C35">
        <w:rPr>
          <w:sz w:val="28"/>
        </w:rPr>
        <w:t>в 2018 году</w:t>
      </w:r>
      <w:r w:rsidRPr="00C43C35">
        <w:rPr>
          <w:color w:val="000000"/>
          <w:sz w:val="28"/>
          <w:szCs w:val="28"/>
        </w:rPr>
        <w:t xml:space="preserve"> – 508,4 </w:t>
      </w:r>
      <w:proofErr w:type="gramStart"/>
      <w:r w:rsidRPr="00C43C35">
        <w:rPr>
          <w:sz w:val="28"/>
        </w:rPr>
        <w:t>млн</w:t>
      </w:r>
      <w:proofErr w:type="gramEnd"/>
      <w:r w:rsidRPr="00C43C35">
        <w:rPr>
          <w:sz w:val="28"/>
        </w:rPr>
        <w:t xml:space="preserve"> рублей и</w:t>
      </w:r>
      <w:r w:rsidRPr="00C43C35">
        <w:rPr>
          <w:color w:val="000000"/>
          <w:sz w:val="28"/>
          <w:szCs w:val="28"/>
        </w:rPr>
        <w:t xml:space="preserve"> в 2019-2020 годах – по 475,7 </w:t>
      </w:r>
      <w:r w:rsidRPr="00C43C35">
        <w:rPr>
          <w:sz w:val="28"/>
        </w:rPr>
        <w:t>млн рублей ежегодно;</w:t>
      </w:r>
    </w:p>
    <w:p w:rsidR="00C43C35" w:rsidRPr="00C43C35" w:rsidRDefault="00C43C35" w:rsidP="00C43C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C35">
        <w:rPr>
          <w:color w:val="000000"/>
          <w:sz w:val="28"/>
          <w:szCs w:val="28"/>
        </w:rPr>
        <w:t xml:space="preserve">на повышение продуктивности крупного рогатого скота молочного направления </w:t>
      </w:r>
      <w:r w:rsidRPr="00C43C35">
        <w:rPr>
          <w:sz w:val="28"/>
        </w:rPr>
        <w:t xml:space="preserve">в 2018 году </w:t>
      </w:r>
      <w:r w:rsidRPr="00C43C35">
        <w:rPr>
          <w:color w:val="000000"/>
          <w:sz w:val="28"/>
          <w:szCs w:val="28"/>
        </w:rPr>
        <w:t xml:space="preserve">– 56,8 </w:t>
      </w:r>
      <w:proofErr w:type="gramStart"/>
      <w:r w:rsidRPr="00C43C35">
        <w:rPr>
          <w:sz w:val="28"/>
        </w:rPr>
        <w:t>млн</w:t>
      </w:r>
      <w:proofErr w:type="gramEnd"/>
      <w:r w:rsidRPr="00C43C35">
        <w:rPr>
          <w:sz w:val="28"/>
        </w:rPr>
        <w:t xml:space="preserve"> рублей и</w:t>
      </w:r>
      <w:r w:rsidRPr="00C43C35">
        <w:rPr>
          <w:color w:val="000000"/>
          <w:sz w:val="28"/>
          <w:szCs w:val="28"/>
        </w:rPr>
        <w:t xml:space="preserve"> в 2019-2020 годах – по 53,5 </w:t>
      </w:r>
      <w:r w:rsidRPr="00C43C35">
        <w:rPr>
          <w:sz w:val="28"/>
        </w:rPr>
        <w:t>млн рублей ежегодно</w:t>
      </w:r>
      <w:r w:rsidRPr="00C43C35">
        <w:rPr>
          <w:color w:val="000000"/>
          <w:sz w:val="28"/>
          <w:szCs w:val="28"/>
        </w:rPr>
        <w:t>;</w:t>
      </w:r>
    </w:p>
    <w:p w:rsidR="00C43C35" w:rsidRPr="00C43C35" w:rsidRDefault="00C43C35" w:rsidP="00C43C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C35">
        <w:rPr>
          <w:color w:val="000000"/>
          <w:sz w:val="28"/>
          <w:szCs w:val="28"/>
        </w:rPr>
        <w:t xml:space="preserve">на оказание содействия достижению целевых показателей реализации региональных программ развития агропромышленного комплекса </w:t>
      </w:r>
      <w:r w:rsidRPr="00C43C35">
        <w:rPr>
          <w:sz w:val="28"/>
        </w:rPr>
        <w:t xml:space="preserve">в </w:t>
      </w:r>
      <w:r w:rsidRPr="00C43C35">
        <w:rPr>
          <w:sz w:val="28"/>
        </w:rPr>
        <w:br/>
        <w:t>2018 году –</w:t>
      </w:r>
      <w:r w:rsidRPr="00C43C35">
        <w:rPr>
          <w:color w:val="000000"/>
          <w:sz w:val="28"/>
          <w:szCs w:val="28"/>
        </w:rPr>
        <w:t xml:space="preserve"> 558,0 </w:t>
      </w:r>
      <w:proofErr w:type="gramStart"/>
      <w:r w:rsidRPr="00C43C35">
        <w:rPr>
          <w:sz w:val="28"/>
        </w:rPr>
        <w:t>млн</w:t>
      </w:r>
      <w:proofErr w:type="gramEnd"/>
      <w:r w:rsidRPr="00C43C35">
        <w:rPr>
          <w:sz w:val="28"/>
        </w:rPr>
        <w:t xml:space="preserve"> рублей и</w:t>
      </w:r>
      <w:r w:rsidRPr="00C43C35">
        <w:rPr>
          <w:color w:val="000000"/>
          <w:sz w:val="28"/>
          <w:szCs w:val="28"/>
        </w:rPr>
        <w:t xml:space="preserve"> в 2019-2020 годах – по 555,5 </w:t>
      </w:r>
      <w:r w:rsidRPr="00C43C35">
        <w:rPr>
          <w:sz w:val="28"/>
        </w:rPr>
        <w:t>млн рублей ежегодно</w:t>
      </w:r>
      <w:r w:rsidRPr="00C43C35">
        <w:rPr>
          <w:color w:val="000000"/>
          <w:sz w:val="28"/>
          <w:szCs w:val="28"/>
        </w:rPr>
        <w:t>;</w:t>
      </w:r>
    </w:p>
    <w:p w:rsidR="00C43C35" w:rsidRPr="00C43C35" w:rsidRDefault="00C43C35" w:rsidP="00C43C35">
      <w:pPr>
        <w:shd w:val="clear" w:color="auto" w:fill="FFFFFF"/>
        <w:ind w:firstLine="709"/>
        <w:jc w:val="both"/>
        <w:rPr>
          <w:sz w:val="28"/>
        </w:rPr>
      </w:pPr>
      <w:r w:rsidRPr="00C43C35">
        <w:rPr>
          <w:color w:val="000000"/>
          <w:sz w:val="28"/>
          <w:szCs w:val="28"/>
        </w:rPr>
        <w:t xml:space="preserve">на возмещение части процентной ставки по инвестиционных кредитам (займам) в агропромышленном комплексе </w:t>
      </w:r>
      <w:r w:rsidRPr="00C43C35">
        <w:rPr>
          <w:sz w:val="28"/>
        </w:rPr>
        <w:t>в 2018 году</w:t>
      </w:r>
      <w:r w:rsidRPr="00C43C35">
        <w:rPr>
          <w:color w:val="000000"/>
          <w:sz w:val="28"/>
          <w:szCs w:val="28"/>
        </w:rPr>
        <w:t xml:space="preserve"> – 241,2 </w:t>
      </w:r>
      <w:proofErr w:type="gramStart"/>
      <w:r w:rsidRPr="00C43C35">
        <w:rPr>
          <w:sz w:val="28"/>
        </w:rPr>
        <w:t>млн</w:t>
      </w:r>
      <w:proofErr w:type="gramEnd"/>
      <w:r w:rsidRPr="00C43C35">
        <w:rPr>
          <w:sz w:val="28"/>
        </w:rPr>
        <w:t xml:space="preserve"> рублей, в 2019 году – </w:t>
      </w:r>
      <w:r w:rsidRPr="00C43C35">
        <w:rPr>
          <w:color w:val="000000"/>
          <w:sz w:val="28"/>
          <w:szCs w:val="28"/>
        </w:rPr>
        <w:t xml:space="preserve">248,3 </w:t>
      </w:r>
      <w:r w:rsidRPr="00C43C35">
        <w:rPr>
          <w:sz w:val="28"/>
        </w:rPr>
        <w:t>млн рублей и в 2020 году – 228,9 млн рублей;</w:t>
      </w:r>
    </w:p>
    <w:p w:rsidR="00C43C35" w:rsidRPr="00C43C35" w:rsidRDefault="00C43C35" w:rsidP="00C43C3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C35">
        <w:rPr>
          <w:sz w:val="28"/>
        </w:rPr>
        <w:t xml:space="preserve">на реализацию мероприятий федеральной целевой программы «Развитие мелиорации земель сельскохозяйственного назначения России на 2014-2020 годы» в 2018 году – </w:t>
      </w:r>
      <w:r w:rsidRPr="00C43C35">
        <w:rPr>
          <w:color w:val="000000"/>
          <w:sz w:val="28"/>
          <w:szCs w:val="28"/>
        </w:rPr>
        <w:t xml:space="preserve">300,2 </w:t>
      </w:r>
      <w:proofErr w:type="gramStart"/>
      <w:r w:rsidRPr="00C43C35">
        <w:rPr>
          <w:sz w:val="28"/>
        </w:rPr>
        <w:t>млн</w:t>
      </w:r>
      <w:proofErr w:type="gramEnd"/>
      <w:r w:rsidRPr="00C43C35">
        <w:rPr>
          <w:sz w:val="28"/>
        </w:rPr>
        <w:t xml:space="preserve"> рублей и</w:t>
      </w:r>
      <w:r w:rsidRPr="00C43C35">
        <w:rPr>
          <w:color w:val="000000"/>
          <w:sz w:val="28"/>
          <w:szCs w:val="28"/>
        </w:rPr>
        <w:t xml:space="preserve"> в 2019-2020 годах – по 161,8 </w:t>
      </w:r>
      <w:r w:rsidRPr="00C43C35">
        <w:rPr>
          <w:sz w:val="28"/>
        </w:rPr>
        <w:t>млн рублей ежегодно.</w:t>
      </w:r>
    </w:p>
    <w:p w:rsidR="00C43C35" w:rsidRPr="00C43C35" w:rsidRDefault="00C43C35" w:rsidP="00C43C35">
      <w:pPr>
        <w:ind w:firstLine="709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На разработку приоритетных научных исследований в сфере сельского хозяйства предусматривается </w:t>
      </w:r>
      <w:r w:rsidRPr="00C43C35">
        <w:rPr>
          <w:color w:val="000000"/>
          <w:spacing w:val="-6"/>
          <w:sz w:val="28"/>
          <w:szCs w:val="28"/>
        </w:rPr>
        <w:t xml:space="preserve">12,0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 в 2018 году и</w:t>
      </w:r>
      <w:r w:rsidRPr="00C43C35">
        <w:rPr>
          <w:color w:val="000000"/>
          <w:spacing w:val="-6"/>
          <w:sz w:val="28"/>
          <w:szCs w:val="28"/>
        </w:rPr>
        <w:t xml:space="preserve"> в 2019-2020 годах – по 6,0 </w:t>
      </w:r>
      <w:r w:rsidRPr="00C43C35">
        <w:rPr>
          <w:spacing w:val="-6"/>
          <w:sz w:val="28"/>
          <w:szCs w:val="28"/>
        </w:rPr>
        <w:t>млн рублей ежегодно</w:t>
      </w:r>
      <w:r w:rsidRPr="00C43C35">
        <w:rPr>
          <w:bCs/>
          <w:spacing w:val="-6"/>
          <w:sz w:val="28"/>
          <w:szCs w:val="28"/>
        </w:rPr>
        <w:t>.</w:t>
      </w:r>
    </w:p>
    <w:p w:rsidR="00C43C35" w:rsidRPr="00C43C35" w:rsidRDefault="00C43C35" w:rsidP="00C43C35">
      <w:pPr>
        <w:ind w:firstLine="709"/>
        <w:jc w:val="both"/>
        <w:rPr>
          <w:bCs/>
          <w:sz w:val="28"/>
          <w:szCs w:val="28"/>
        </w:rPr>
      </w:pPr>
      <w:r w:rsidRPr="00C43C35">
        <w:rPr>
          <w:bCs/>
          <w:sz w:val="28"/>
          <w:szCs w:val="28"/>
        </w:rPr>
        <w:t xml:space="preserve">В рамках реализации Закона Саратовской области «О государственной поддержке кадрового потенциала агропромышленного комплекса Саратовской области» предлагается направлять ежегодно по 10,0 </w:t>
      </w:r>
      <w:proofErr w:type="gramStart"/>
      <w:r w:rsidRPr="00C43C35">
        <w:rPr>
          <w:bCs/>
          <w:sz w:val="28"/>
          <w:szCs w:val="28"/>
        </w:rPr>
        <w:t>млн</w:t>
      </w:r>
      <w:proofErr w:type="gramEnd"/>
      <w:r w:rsidRPr="00C43C35">
        <w:rPr>
          <w:bCs/>
          <w:sz w:val="28"/>
          <w:szCs w:val="28"/>
        </w:rPr>
        <w:t xml:space="preserve"> рублей на предоставление единовременной денежной выплаты и ежегодного денежного пособия молодым специалистам.</w:t>
      </w:r>
    </w:p>
    <w:p w:rsidR="00C43C35" w:rsidRPr="00C43C35" w:rsidRDefault="00C43C35" w:rsidP="00C43C3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На осуществление переданных в соответствии с </w:t>
      </w:r>
      <w:r w:rsidRPr="00C43C35">
        <w:rPr>
          <w:bCs/>
          <w:sz w:val="28"/>
          <w:szCs w:val="28"/>
        </w:rPr>
        <w:t>Водным кодексом Российской Федерации</w:t>
      </w:r>
      <w:r w:rsidRPr="00C43C35">
        <w:rPr>
          <w:sz w:val="28"/>
          <w:szCs w:val="28"/>
        </w:rPr>
        <w:t xml:space="preserve"> полномочий Российской Федерации в области водных отношений за счет субвенций из федерального бюджета расходы на осуществление мер по охране водных объектов или их частей, находящихся в федеральной собственности и расположенных на территории Саратовской области, в</w:t>
      </w:r>
      <w:r w:rsidRPr="00C43C35">
        <w:rPr>
          <w:sz w:val="28"/>
          <w:szCs w:val="20"/>
        </w:rPr>
        <w:t xml:space="preserve"> 2018 году составят </w:t>
      </w:r>
      <w:r w:rsidRPr="00C43C35">
        <w:rPr>
          <w:sz w:val="28"/>
          <w:szCs w:val="28"/>
        </w:rPr>
        <w:t xml:space="preserve">39,3 </w:t>
      </w:r>
      <w:proofErr w:type="gramStart"/>
      <w:r w:rsidRPr="00C43C35">
        <w:rPr>
          <w:bCs/>
          <w:sz w:val="28"/>
          <w:szCs w:val="28"/>
        </w:rPr>
        <w:t>млн</w:t>
      </w:r>
      <w:proofErr w:type="gramEnd"/>
      <w:r w:rsidRPr="00C43C35">
        <w:rPr>
          <w:bCs/>
          <w:sz w:val="28"/>
          <w:szCs w:val="28"/>
        </w:rPr>
        <w:t xml:space="preserve"> рублей</w:t>
      </w:r>
      <w:r w:rsidRPr="00C43C35">
        <w:rPr>
          <w:sz w:val="28"/>
          <w:szCs w:val="20"/>
        </w:rPr>
        <w:t xml:space="preserve">, в 2019 году – </w:t>
      </w:r>
      <w:r w:rsidRPr="00C43C35">
        <w:rPr>
          <w:color w:val="000000"/>
          <w:sz w:val="28"/>
          <w:szCs w:val="28"/>
        </w:rPr>
        <w:t xml:space="preserve">41,0 </w:t>
      </w:r>
      <w:r w:rsidRPr="00C43C35">
        <w:rPr>
          <w:sz w:val="28"/>
          <w:szCs w:val="20"/>
        </w:rPr>
        <w:t xml:space="preserve">млн рублей и в 2020 году – 42,7 </w:t>
      </w:r>
      <w:proofErr w:type="gramStart"/>
      <w:r w:rsidRPr="00C43C35">
        <w:rPr>
          <w:sz w:val="28"/>
          <w:szCs w:val="20"/>
        </w:rPr>
        <w:t>млн</w:t>
      </w:r>
      <w:proofErr w:type="gramEnd"/>
      <w:r w:rsidRPr="00C43C35">
        <w:rPr>
          <w:sz w:val="28"/>
          <w:szCs w:val="20"/>
        </w:rPr>
        <w:t xml:space="preserve"> рублей</w:t>
      </w:r>
      <w:r w:rsidRPr="00C43C35">
        <w:rPr>
          <w:sz w:val="28"/>
          <w:szCs w:val="28"/>
        </w:rPr>
        <w:t>.</w:t>
      </w:r>
    </w:p>
    <w:p w:rsidR="00C43C35" w:rsidRPr="00C43C35" w:rsidRDefault="00C43C35" w:rsidP="00C43C3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C43C35">
        <w:rPr>
          <w:bCs/>
          <w:sz w:val="28"/>
          <w:szCs w:val="28"/>
        </w:rPr>
        <w:t xml:space="preserve">На развитие лесного хозяйства </w:t>
      </w:r>
      <w:r w:rsidRPr="00C43C35">
        <w:rPr>
          <w:sz w:val="28"/>
          <w:szCs w:val="28"/>
        </w:rPr>
        <w:t xml:space="preserve">на 2018 год предусмотрены бюджетные ассигнования в сумме 148,3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на 2019 год – 153,8 млн рублей и на 2020 год – 152,3 млн рублей, в том числе за субвенций из федерального бюджета н</w:t>
      </w:r>
      <w:r w:rsidRPr="00C43C35">
        <w:rPr>
          <w:bCs/>
          <w:sz w:val="28"/>
          <w:szCs w:val="28"/>
        </w:rPr>
        <w:t xml:space="preserve">а осуществление отдельных полномочий в области лесных отношений, переданных в соответствии с Лесным кодексом Российской </w:t>
      </w:r>
      <w:r w:rsidRPr="00C43C35">
        <w:rPr>
          <w:bCs/>
          <w:sz w:val="28"/>
          <w:szCs w:val="28"/>
        </w:rPr>
        <w:lastRenderedPageBreak/>
        <w:t xml:space="preserve">Федерации, 132,5 млн рублей, 137,6 млн рублей и 135,5 </w:t>
      </w:r>
      <w:proofErr w:type="gramStart"/>
      <w:r w:rsidRPr="00C43C35">
        <w:rPr>
          <w:bCs/>
          <w:sz w:val="28"/>
          <w:szCs w:val="28"/>
        </w:rPr>
        <w:t>млн</w:t>
      </w:r>
      <w:proofErr w:type="gramEnd"/>
      <w:r w:rsidRPr="00C43C35">
        <w:rPr>
          <w:bCs/>
          <w:sz w:val="28"/>
          <w:szCs w:val="28"/>
        </w:rPr>
        <w:t xml:space="preserve"> рублей по годам соответственно.</w:t>
      </w:r>
    </w:p>
    <w:p w:rsidR="00C43C35" w:rsidRPr="00C43C35" w:rsidRDefault="00C43C35" w:rsidP="00C43C35">
      <w:pPr>
        <w:autoSpaceDE w:val="0"/>
        <w:autoSpaceDN w:val="0"/>
        <w:adjustRightInd w:val="0"/>
        <w:ind w:firstLine="720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В рамках </w:t>
      </w:r>
      <w:r w:rsidRPr="00C43C35">
        <w:rPr>
          <w:spacing w:val="-6"/>
          <w:sz w:val="28"/>
          <w:szCs w:val="28"/>
        </w:rPr>
        <w:t xml:space="preserve">реализации государственной программы «Охрана окружающей среды, воспроизводство и рациональное использование природных ресурсов Саратовской области на период до 2020 года» на 2018 год определены расходы в сумме 62,3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рублей, на 2019 год – 65,0 млн рублей и на 2020 год</w:t>
      </w:r>
      <w:r w:rsidRPr="00C43C35">
        <w:rPr>
          <w:bCs/>
          <w:spacing w:val="-6"/>
          <w:sz w:val="28"/>
          <w:szCs w:val="28"/>
        </w:rPr>
        <w:t xml:space="preserve"> – </w:t>
      </w:r>
      <w:r w:rsidRPr="00C43C35">
        <w:rPr>
          <w:spacing w:val="-6"/>
          <w:sz w:val="28"/>
          <w:szCs w:val="28"/>
        </w:rPr>
        <w:t xml:space="preserve">60,5 млн рублей </w:t>
      </w:r>
      <w:r w:rsidRPr="00C43C35">
        <w:rPr>
          <w:bCs/>
          <w:spacing w:val="-6"/>
          <w:sz w:val="28"/>
          <w:szCs w:val="28"/>
        </w:rPr>
        <w:t xml:space="preserve">для осуществления мероприятий по охране и воспроизводству лесов, осуществлению мер пожарной безопасности в лесах и тушению лесных пожаров, </w:t>
      </w:r>
      <w:proofErr w:type="spellStart"/>
      <w:r w:rsidRPr="00C43C35">
        <w:rPr>
          <w:bCs/>
          <w:spacing w:val="-6"/>
          <w:sz w:val="28"/>
          <w:szCs w:val="28"/>
        </w:rPr>
        <w:t>лесовосстановлению</w:t>
      </w:r>
      <w:proofErr w:type="spellEnd"/>
      <w:r w:rsidRPr="00C43C35">
        <w:rPr>
          <w:bCs/>
          <w:spacing w:val="-6"/>
          <w:sz w:val="28"/>
          <w:szCs w:val="28"/>
        </w:rPr>
        <w:t xml:space="preserve"> на землях лесного фонда, организации, содержанию и оснащению мобилизационных групп по тушению лесных пожаров, совершенствованию и разработке документов лесного планирования, информатизации лесного хозяйства и др.</w:t>
      </w:r>
    </w:p>
    <w:p w:rsidR="00C43C35" w:rsidRPr="00C43C35" w:rsidRDefault="00C43C35" w:rsidP="00C43C35">
      <w:pPr>
        <w:ind w:firstLine="720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На финансовое обеспечение мероприятий в области охраны объектов растительного и животного мира и среды их обитания, прикладных научных исследований в области охраны окружающей среды на 2018 год запланировано </w:t>
      </w:r>
      <w:r w:rsidRPr="00C43C35">
        <w:rPr>
          <w:bCs/>
          <w:spacing w:val="-6"/>
          <w:sz w:val="28"/>
          <w:szCs w:val="28"/>
        </w:rPr>
        <w:t>10,4</w:t>
      </w:r>
      <w:r w:rsidRPr="00C43C35">
        <w:rPr>
          <w:spacing w:val="-6"/>
          <w:sz w:val="28"/>
          <w:szCs w:val="28"/>
        </w:rPr>
        <w:t xml:space="preserve">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рублей, на 2019 год – 10,7 млн рублей и на 2020 год – 10,9 млн рублей, </w:t>
      </w:r>
      <w:r w:rsidRPr="00C43C35">
        <w:rPr>
          <w:bCs/>
          <w:spacing w:val="-6"/>
          <w:sz w:val="28"/>
          <w:szCs w:val="28"/>
        </w:rPr>
        <w:t xml:space="preserve">в том числе </w:t>
      </w:r>
      <w:r w:rsidRPr="00C43C35">
        <w:rPr>
          <w:spacing w:val="-6"/>
          <w:sz w:val="28"/>
          <w:szCs w:val="28"/>
        </w:rPr>
        <w:t xml:space="preserve">за счет субвенций из федерального бюджета на реализацию переданных полномочий Российской Федерации в области охраны и использования объектов животного мира – ежегодно по 0,2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рублей.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По транспортному комплексу объем бюджетных ассигнований прогнозируется на 2018 год в сумме 268,6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на 2019 год – 268,7 млн рублей, на 2020 год – 225,4 млн. рублей. В составе расходов предусмотрено возмещение транспортным организациям недополученных доходов или части затрат от применения регулируемых тарифов на пассажирские перевозки, исполнение мероприятий по комплексному развитию и обеспечению функционирования автоматической системы </w:t>
      </w:r>
      <w:proofErr w:type="spellStart"/>
      <w:r w:rsidRPr="00C43C35">
        <w:rPr>
          <w:bCs/>
          <w:spacing w:val="-6"/>
          <w:sz w:val="28"/>
          <w:szCs w:val="28"/>
        </w:rPr>
        <w:t>фотовидеофиксации</w:t>
      </w:r>
      <w:proofErr w:type="spellEnd"/>
      <w:r w:rsidRPr="00C43C35">
        <w:rPr>
          <w:bCs/>
          <w:spacing w:val="-6"/>
          <w:sz w:val="28"/>
          <w:szCs w:val="28"/>
        </w:rPr>
        <w:t xml:space="preserve"> нарушений правил дорожного движения, исполнение мероприятий по обеспечению беспрепятственного доступа к объектам транспортной инфраструктуры для инвалидов.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Объем расходов за счет средств областного дорожного фонда составит в 2018 году 6481,3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в 2019 и 2020 годах – 7426,6 млн рублей и </w:t>
      </w:r>
      <w:r w:rsidRPr="00C43C35">
        <w:rPr>
          <w:bCs/>
          <w:spacing w:val="-6"/>
          <w:sz w:val="28"/>
          <w:szCs w:val="28"/>
        </w:rPr>
        <w:br/>
        <w:t xml:space="preserve">9970,0 млн рублей, в том числе за счет соответствующих межбюджетных трансфертов из федерального бюджета в 2018 году – 38,6 млн рублей, в 2019 году и 2020 году – 276,8 млн рублей и 288,4 млн рублей соответственно.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По отрасли «Жилищно-коммунальное хозяйство» на 2018 год запланированы расходы в размере 294,2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на 2019 год –276,5 млн рублей, на 2020 год – 286,4 млн рублей по следующим направлениям: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- предоставление субсидии на возмещение затрат при осуществлении технической эксплуатации и текущего ремонта сооружений инженерной защиты области в объемах 68,3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70,9 млн рублей и 73,6 млн рублей по годам соответственно;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- 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водоотведению, на 2018-2020 годы предусмотрено по 25,0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 ежегодно;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lastRenderedPageBreak/>
        <w:t xml:space="preserve">- предоставление субсидии специализированной некоммерческой организации «Фонд капитального ремонта» в 2018 году в размере 146,0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в 2019 году – 152,0 млн рублей и в 2020 году – 158,1 млн рублей;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- на уплату взносов на капитальный ремонт общего имущества в многоквартирных домах, относящихся к государственному жилищному фонду области, в 2018 году – 2,9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 и в 2019-2020 годах – по 0,7 млн рублей ежегодно.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В целях решения острой проблемы обеспечения жилыми помещениями детей-сирот и детей, оставшихся без попечения родителей, в условиях ограниченности финансовых возможностей региона на финансирование указанных мероприятий за счет средств областного бюджета в 2018 году запланировано 136,6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в 2019 году – 128,7 млн рублей и в 2020 году – 158,0 млн рублей. Также на эти цели планируется привлечь субсидии из федерального бюджета размере 174,4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181,9 млн рублей и 189,2 млн рублей по годам соответственно.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В связи с увеличением объемов государственного жилищного фонда области, предоставляемого социально незащищенным категориям населения, на уплату налогов, сборов и иных платежей на 2018 год предусмотрено 31,3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на 2019 год – 6,4 млн рублей, на 2020 год – 6,7 млн рублей.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Кроме того, на предоставление жилых помещений по договорам социального найма в 2018 году запланировано 20,7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в 2019 году – 21,5 млн рублей и в 2020 году – 22,3 млн рублей.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Расходы инвестиционного характера в рамках областной адресной инвестиционной программы предусмотрены на 2018 год в объеме 1317,7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на 2019 год – 1658,2 млн рублей, на 2020 год – 876,3 млн рублей.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Расходы на поддержку и развитие малого и среднего предпринимательства в 2018-2020 годах составят 30,5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32,4 млн. рублей и 33,0 млн рублей по годам соответственно, из них на поддержку деятельности муниципальных бизнес-инкубаторов в 2018 году запланировано 4,9 млн рублей, на 2019 и 2020 годы – 5,1 и 5,3 млн рублей соответственно.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bCs/>
          <w:spacing w:val="-6"/>
          <w:sz w:val="28"/>
          <w:szCs w:val="28"/>
        </w:rPr>
      </w:pPr>
      <w:r w:rsidRPr="00C43C35">
        <w:rPr>
          <w:bCs/>
          <w:spacing w:val="-6"/>
          <w:sz w:val="28"/>
          <w:szCs w:val="28"/>
        </w:rPr>
        <w:t xml:space="preserve">В целях участия области в течение 2018 - 2020 годах в федеральной целевой программе «Устойчивое развитие сельских территорий на 2014-2017 годы и на период до 2020 года» на долевое финансирование за счет средств областного бюджета на мероприятия по комплексному обустройству объектами социальной и инженерной инфраструктуры населенных пунктов, расположенных в сельской местности, на 2018 год предусмотрено 4,0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на 2019 год – 39,2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рублей, на 2020 год – 15,7 млн рублей. При этом в программу добавлены новые мероприятия по комплексному обустройству площадок под компактную жилищную застройку в сельской местности, по развитию сети плоскостных спортивных сооружений в сельской местности, на реализацию которых в областном бюджете на 2019 год предусмотрено 27,0 </w:t>
      </w:r>
      <w:proofErr w:type="gramStart"/>
      <w:r w:rsidRPr="00C43C35">
        <w:rPr>
          <w:bCs/>
          <w:spacing w:val="-6"/>
          <w:sz w:val="28"/>
          <w:szCs w:val="28"/>
        </w:rPr>
        <w:t>млн</w:t>
      </w:r>
      <w:proofErr w:type="gramEnd"/>
      <w:r w:rsidRPr="00C43C35">
        <w:rPr>
          <w:bCs/>
          <w:spacing w:val="-6"/>
          <w:sz w:val="28"/>
          <w:szCs w:val="28"/>
        </w:rPr>
        <w:t xml:space="preserve"> рублей.</w:t>
      </w:r>
    </w:p>
    <w:p w:rsidR="00C43C35" w:rsidRPr="00C43C35" w:rsidRDefault="00C43C35" w:rsidP="00C43C35">
      <w:pPr>
        <w:tabs>
          <w:tab w:val="left" w:pos="3120"/>
        </w:tabs>
        <w:ind w:firstLineChars="253" w:firstLine="708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Расходы на обеспечение пожарной безопасности, предупреждение и защиту от чрезвычайных ситуаций, гражданскую оборону определены на 2018-2020 годы в размере 225,1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233,1 млн рублей и 241,3 млн </w:t>
      </w:r>
      <w:r w:rsidRPr="00C43C35">
        <w:rPr>
          <w:sz w:val="28"/>
          <w:szCs w:val="28"/>
        </w:rPr>
        <w:lastRenderedPageBreak/>
        <w:t xml:space="preserve">рублей по годам соответственно, в том числе на эксплуатационно-техническое обслуживание действующей региональной системы оповещения населения в рамках реализации государственной программы области «Защита населения и территорий от чрезвычайных ситуаций, обеспечение пожарной безопасности до 2020 года» – ежегодно по 2,9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рублей.</w:t>
      </w:r>
    </w:p>
    <w:p w:rsidR="00C43C35" w:rsidRPr="00C43C35" w:rsidRDefault="00C43C35" w:rsidP="00C43C35">
      <w:pPr>
        <w:tabs>
          <w:tab w:val="left" w:pos="3120"/>
        </w:tabs>
        <w:ind w:firstLineChars="253" w:firstLine="708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Расходы на содержание органов государственной власти области с учетом расходов на исполнение переданных полномочий Российской Федерации на 2018 год предусмотрены в сумме 1978,4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на 2019 год – 2040,5 млн рублей и на 2020 год – 2064,2 млн рублей. </w:t>
      </w:r>
      <w:proofErr w:type="gramStart"/>
      <w:r w:rsidRPr="00C43C35">
        <w:rPr>
          <w:sz w:val="28"/>
          <w:szCs w:val="28"/>
        </w:rPr>
        <w:t>Указанные суммы составляют соответственно 2,3%, 2,2% и 2,1% от налоговых, неналоговых доходов консолидированного бюджета области и дотации на выравнивание бюджетной обеспеченности, что не превышает норматив формирования расходов на содержание органов государственной власти субъектов Российской Федерации, установленный для Саратовской области распоряжением Правительства Российской Федерации от 4 мая 2017 года №  863-р в размере 3,6% от доходов консолидированного бюджета области, учитываемых для расчета</w:t>
      </w:r>
      <w:proofErr w:type="gramEnd"/>
      <w:r w:rsidRPr="00C43C35">
        <w:rPr>
          <w:sz w:val="28"/>
          <w:szCs w:val="28"/>
        </w:rPr>
        <w:t xml:space="preserve"> норматива. </w:t>
      </w:r>
    </w:p>
    <w:p w:rsidR="00C43C35" w:rsidRPr="00C43C35" w:rsidRDefault="00C43C35" w:rsidP="00C43C35">
      <w:pPr>
        <w:tabs>
          <w:tab w:val="left" w:pos="3120"/>
        </w:tabs>
        <w:ind w:firstLineChars="253" w:firstLine="693"/>
        <w:jc w:val="both"/>
        <w:rPr>
          <w:spacing w:val="-6"/>
          <w:sz w:val="28"/>
          <w:szCs w:val="28"/>
        </w:rPr>
      </w:pPr>
      <w:r w:rsidRPr="00C43C35">
        <w:rPr>
          <w:spacing w:val="-6"/>
          <w:sz w:val="28"/>
          <w:szCs w:val="28"/>
        </w:rPr>
        <w:t xml:space="preserve">Расходы на исполнение органами исполнительной власти области переданных полномочий Российской Федерации за счет соответствующих субвенций из федерального бюджета предусмотрены на 2018 год в сумме </w:t>
      </w:r>
      <w:r w:rsidRPr="00C43C35">
        <w:rPr>
          <w:spacing w:val="-6"/>
          <w:sz w:val="28"/>
          <w:szCs w:val="28"/>
        </w:rPr>
        <w:br/>
        <w:t xml:space="preserve">219,5 </w:t>
      </w:r>
      <w:proofErr w:type="gramStart"/>
      <w:r w:rsidRPr="00C43C35">
        <w:rPr>
          <w:spacing w:val="-6"/>
          <w:sz w:val="28"/>
          <w:szCs w:val="28"/>
        </w:rPr>
        <w:t>млн</w:t>
      </w:r>
      <w:proofErr w:type="gramEnd"/>
      <w:r w:rsidRPr="00C43C35">
        <w:rPr>
          <w:spacing w:val="-6"/>
          <w:sz w:val="28"/>
          <w:szCs w:val="28"/>
        </w:rPr>
        <w:t xml:space="preserve"> рублей, на 2019 год – 225,6 млн рублей и на 2020 год – 190,8 млн рублей.</w:t>
      </w:r>
    </w:p>
    <w:p w:rsidR="00C43C35" w:rsidRPr="00C43C35" w:rsidRDefault="00C43C35" w:rsidP="00C43C35">
      <w:pPr>
        <w:tabs>
          <w:tab w:val="left" w:pos="3120"/>
        </w:tabs>
        <w:ind w:firstLineChars="252" w:firstLine="708"/>
        <w:jc w:val="center"/>
        <w:rPr>
          <w:b/>
          <w:sz w:val="28"/>
          <w:szCs w:val="28"/>
          <w:highlight w:val="yellow"/>
        </w:rPr>
      </w:pPr>
    </w:p>
    <w:p w:rsidR="00C43C35" w:rsidRPr="00C43C35" w:rsidRDefault="00C43C35" w:rsidP="00C43C35">
      <w:pPr>
        <w:tabs>
          <w:tab w:val="left" w:pos="3120"/>
        </w:tabs>
        <w:spacing w:line="216" w:lineRule="auto"/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  <w:lang w:val="en-US"/>
        </w:rPr>
        <w:t>VI</w:t>
      </w:r>
      <w:r w:rsidRPr="00C43C35">
        <w:rPr>
          <w:b/>
          <w:sz w:val="28"/>
          <w:szCs w:val="28"/>
        </w:rPr>
        <w:t>. Межбюджетные трансферты</w:t>
      </w:r>
    </w:p>
    <w:p w:rsidR="00C43C35" w:rsidRPr="00C43C35" w:rsidRDefault="00C43C35" w:rsidP="00C43C35">
      <w:pPr>
        <w:tabs>
          <w:tab w:val="left" w:pos="3120"/>
        </w:tabs>
        <w:spacing w:line="216" w:lineRule="auto"/>
        <w:ind w:firstLine="709"/>
        <w:jc w:val="center"/>
        <w:rPr>
          <w:sz w:val="28"/>
          <w:szCs w:val="28"/>
        </w:rPr>
      </w:pPr>
    </w:p>
    <w:p w:rsidR="00C43C35" w:rsidRPr="00C43C35" w:rsidRDefault="00C43C35" w:rsidP="00C43C35">
      <w:pPr>
        <w:tabs>
          <w:tab w:val="left" w:pos="3120"/>
        </w:tabs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Межбюджетные трансферты местным бюджетам на 2018-2020 годы запланированы в объемах 20207,2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19175,2 млн рублей и </w:t>
      </w:r>
      <w:r w:rsidRPr="00C43C35">
        <w:rPr>
          <w:sz w:val="28"/>
          <w:szCs w:val="28"/>
        </w:rPr>
        <w:br/>
        <w:t xml:space="preserve">19895,3 млн рублей соответственно по годам, из которых основная доля (более 80%) предоставляется в форме субвенций. </w:t>
      </w:r>
    </w:p>
    <w:p w:rsidR="00C43C35" w:rsidRPr="00C43C35" w:rsidRDefault="00C43C35" w:rsidP="00C43C35">
      <w:pPr>
        <w:ind w:firstLineChars="252" w:firstLine="706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Структура межбюджетных трансфертов из областного бюджета представлена в следующей таблице:</w:t>
      </w:r>
    </w:p>
    <w:p w:rsidR="00C43C35" w:rsidRPr="00C43C35" w:rsidRDefault="00C43C35" w:rsidP="00C43C35">
      <w:pPr>
        <w:autoSpaceDE w:val="0"/>
        <w:autoSpaceDN w:val="0"/>
        <w:adjustRightInd w:val="0"/>
        <w:ind w:firstLine="709"/>
        <w:jc w:val="right"/>
      </w:pPr>
      <w:r w:rsidRPr="00C43C35">
        <w:t>(</w:t>
      </w:r>
      <w:proofErr w:type="gramStart"/>
      <w:r w:rsidRPr="00C43C35">
        <w:t>млн</w:t>
      </w:r>
      <w:proofErr w:type="gramEnd"/>
      <w:r w:rsidRPr="00C43C35">
        <w:t xml:space="preserve"> рублей)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134"/>
        <w:gridCol w:w="1418"/>
        <w:gridCol w:w="1181"/>
        <w:gridCol w:w="1181"/>
        <w:gridCol w:w="1182"/>
      </w:tblGrid>
      <w:tr w:rsidR="00C43C35" w:rsidRPr="00C43C35" w:rsidTr="004B16A0">
        <w:trPr>
          <w:trHeight w:val="348"/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Показатели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35" w:rsidRPr="00C43C35" w:rsidRDefault="00C43C35" w:rsidP="00C43C35">
            <w:pPr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2017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jc w:val="center"/>
              <w:rPr>
                <w:b/>
                <w:bCs/>
              </w:rPr>
            </w:pPr>
            <w:r w:rsidRPr="00C43C35">
              <w:rPr>
                <w:b/>
                <w:bCs/>
              </w:rPr>
              <w:t>2020 год</w:t>
            </w:r>
          </w:p>
        </w:tc>
      </w:tr>
      <w:tr w:rsidR="00C43C35" w:rsidRPr="00C43C35" w:rsidTr="004B16A0">
        <w:trPr>
          <w:trHeight w:val="720"/>
          <w:tblHeader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C35" w:rsidRPr="00C43C35" w:rsidRDefault="00C43C35" w:rsidP="00C43C35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C35" w:rsidRPr="00C43C35" w:rsidRDefault="00C43C35" w:rsidP="00C43C3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C43C35">
              <w:rPr>
                <w:bCs/>
                <w:sz w:val="20"/>
                <w:szCs w:val="20"/>
              </w:rPr>
              <w:t>Первон</w:t>
            </w:r>
            <w:proofErr w:type="gramStart"/>
            <w:r w:rsidRPr="00C43C35">
              <w:rPr>
                <w:bCs/>
                <w:sz w:val="20"/>
                <w:szCs w:val="20"/>
              </w:rPr>
              <w:t>а</w:t>
            </w:r>
            <w:proofErr w:type="spellEnd"/>
            <w:r w:rsidRPr="00C43C35">
              <w:rPr>
                <w:bCs/>
                <w:sz w:val="20"/>
                <w:szCs w:val="20"/>
              </w:rPr>
              <w:t>-</w:t>
            </w:r>
            <w:proofErr w:type="gramEnd"/>
            <w:r w:rsidRPr="00C43C35">
              <w:rPr>
                <w:bCs/>
                <w:sz w:val="20"/>
                <w:szCs w:val="20"/>
              </w:rPr>
              <w:br/>
            </w:r>
            <w:proofErr w:type="spellStart"/>
            <w:r w:rsidRPr="00C43C35">
              <w:rPr>
                <w:bCs/>
                <w:sz w:val="20"/>
                <w:szCs w:val="20"/>
              </w:rPr>
              <w:t>чальный</w:t>
            </w:r>
            <w:proofErr w:type="spellEnd"/>
            <w:r w:rsidRPr="00C43C35">
              <w:rPr>
                <w:bCs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35" w:rsidRPr="00C43C35" w:rsidRDefault="00C43C35" w:rsidP="00C43C35">
            <w:pPr>
              <w:jc w:val="center"/>
              <w:rPr>
                <w:bCs/>
                <w:sz w:val="20"/>
                <w:szCs w:val="20"/>
              </w:rPr>
            </w:pPr>
            <w:r w:rsidRPr="00C43C35">
              <w:rPr>
                <w:bCs/>
                <w:sz w:val="20"/>
                <w:szCs w:val="20"/>
              </w:rPr>
              <w:t>Оценка исполнения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C35" w:rsidRPr="00C43C35" w:rsidRDefault="00C43C35" w:rsidP="00C43C35">
            <w:pPr>
              <w:jc w:val="center"/>
              <w:rPr>
                <w:spacing w:val="-6"/>
                <w:sz w:val="20"/>
                <w:szCs w:val="20"/>
              </w:rPr>
            </w:pPr>
            <w:r w:rsidRPr="00C43C35">
              <w:rPr>
                <w:spacing w:val="-6"/>
                <w:sz w:val="20"/>
                <w:szCs w:val="20"/>
              </w:rPr>
              <w:t>Проект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both"/>
              <w:rPr>
                <w:b/>
                <w:bCs/>
                <w:color w:val="000000"/>
                <w:spacing w:val="-6"/>
              </w:rPr>
            </w:pPr>
            <w:r w:rsidRPr="00C43C35">
              <w:rPr>
                <w:b/>
                <w:bCs/>
                <w:color w:val="000000"/>
                <w:spacing w:val="-6"/>
              </w:rPr>
              <w:t>Межбюджетные трансферты местным бюджетам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18891,2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25978,1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20207,2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19175,2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19895,3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both"/>
              <w:rPr>
                <w:color w:val="000000"/>
              </w:rPr>
            </w:pPr>
            <w:r w:rsidRPr="00C43C35">
              <w:rPr>
                <w:color w:val="000000"/>
              </w:rPr>
              <w:t>за счет целевых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150,4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3912,2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156,2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125,0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125,3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both"/>
              <w:rPr>
                <w:color w:val="000000"/>
              </w:rPr>
            </w:pPr>
            <w:r w:rsidRPr="00C43C35">
              <w:rPr>
                <w:color w:val="00000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18740,8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22065,9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20050,9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19050,2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19770,0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both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Дотации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  <w:highlight w:val="yellow"/>
              </w:rPr>
            </w:pPr>
            <w:r w:rsidRPr="00C43C35">
              <w:rPr>
                <w:b/>
                <w:bCs/>
              </w:rPr>
              <w:t>2514,0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  <w:highlight w:val="yellow"/>
              </w:rPr>
            </w:pPr>
            <w:r w:rsidRPr="00C43C35">
              <w:rPr>
                <w:b/>
                <w:bCs/>
              </w:rPr>
              <w:t>2776,2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3187,2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2377,0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2476,2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ind w:left="176"/>
              <w:jc w:val="both"/>
              <w:rPr>
                <w:i/>
                <w:iCs/>
                <w:color w:val="000000"/>
              </w:rPr>
            </w:pPr>
            <w:r w:rsidRPr="00C43C35">
              <w:rPr>
                <w:i/>
                <w:iCs/>
                <w:color w:val="00000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ind w:left="176"/>
              <w:rPr>
                <w:i/>
                <w:iCs/>
                <w:color w:val="000000"/>
                <w:spacing w:val="-8"/>
                <w:sz w:val="23"/>
                <w:szCs w:val="23"/>
              </w:rPr>
            </w:pPr>
            <w:r w:rsidRPr="00C43C35">
              <w:rPr>
                <w:i/>
                <w:iCs/>
                <w:color w:val="000000"/>
                <w:spacing w:val="-8"/>
                <w:sz w:val="23"/>
                <w:szCs w:val="23"/>
              </w:rPr>
              <w:t>на выравнивание бюджетной обеспеченности муниципальных районов городских округов и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2399,4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2395,6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2898,7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2289,8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2390,0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ind w:left="176"/>
              <w:rPr>
                <w:i/>
                <w:iCs/>
                <w:color w:val="000000"/>
                <w:spacing w:val="-8"/>
                <w:sz w:val="23"/>
                <w:szCs w:val="23"/>
              </w:rPr>
            </w:pPr>
            <w:r w:rsidRPr="00C43C35">
              <w:rPr>
                <w:i/>
                <w:iCs/>
                <w:color w:val="000000"/>
                <w:sz w:val="23"/>
                <w:szCs w:val="23"/>
              </w:rPr>
              <w:lastRenderedPageBreak/>
              <w:t>на поддержку мер по обеспечению сбалансированности бюджетов</w:t>
            </w:r>
            <w:r w:rsidRPr="00C43C35">
              <w:rPr>
                <w:i/>
                <w:iCs/>
                <w:color w:val="000000"/>
                <w:spacing w:val="-8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266,0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179,3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ind w:left="176"/>
              <w:rPr>
                <w:i/>
                <w:iCs/>
                <w:color w:val="000000"/>
              </w:rPr>
            </w:pPr>
            <w:r w:rsidRPr="00C43C35">
              <w:rPr>
                <w:i/>
                <w:iCs/>
                <w:color w:val="000000"/>
              </w:rPr>
              <w:t>дотации бюджетам ЗАТО (федеральные средства)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114,6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114,6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109,2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87,2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86,2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6115,5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581,4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5,1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5,3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ind w:left="318"/>
              <w:rPr>
                <w:color w:val="000000"/>
              </w:rPr>
            </w:pPr>
            <w:r w:rsidRPr="00C43C35">
              <w:rPr>
                <w:color w:val="000000"/>
              </w:rPr>
              <w:t>за счет целевых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3535,8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9,6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ind w:left="318"/>
              <w:rPr>
                <w:color w:val="000000"/>
              </w:rPr>
            </w:pPr>
            <w:r w:rsidRPr="00C43C35">
              <w:rPr>
                <w:color w:val="00000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2579,7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</w:rPr>
            </w:pPr>
            <w:r w:rsidRPr="00C43C35">
              <w:rPr>
                <w:bCs/>
              </w:rPr>
              <w:t>571,8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5,1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5,3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16372,3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16400,9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16438,5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16793,1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17413,8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ind w:left="318"/>
              <w:rPr>
                <w:color w:val="000000"/>
              </w:rPr>
            </w:pPr>
            <w:r w:rsidRPr="00C43C35">
              <w:rPr>
                <w:color w:val="000000"/>
              </w:rPr>
              <w:t>за счет целевых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  <w:r w:rsidRPr="00C43C35">
              <w:rPr>
                <w:bCs/>
              </w:rPr>
              <w:t>35,8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  <w:r w:rsidRPr="00C43C35">
              <w:rPr>
                <w:bCs/>
              </w:rPr>
              <w:t>36,6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37,4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37,8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39,1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ind w:left="318"/>
              <w:rPr>
                <w:color w:val="000000"/>
              </w:rPr>
            </w:pPr>
            <w:r w:rsidRPr="00C43C35">
              <w:rPr>
                <w:color w:val="00000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  <w:r w:rsidRPr="00C43C35">
              <w:rPr>
                <w:bCs/>
              </w:rPr>
              <w:t>16336,5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  <w:r w:rsidRPr="00C43C35">
              <w:rPr>
                <w:bCs/>
              </w:rPr>
              <w:t>16364,3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  <w:r w:rsidRPr="00C43C35">
              <w:rPr>
                <w:bCs/>
              </w:rPr>
              <w:t>16401,1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16755,3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  <w:r w:rsidRPr="00C43C35">
              <w:rPr>
                <w:bCs/>
                <w:color w:val="000000"/>
              </w:rPr>
              <w:t>17374,7</w:t>
            </w: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rPr>
                <w:b/>
                <w:bCs/>
                <w:color w:val="000000"/>
              </w:rPr>
            </w:pPr>
            <w:r w:rsidRPr="00C43C35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/>
                <w:bCs/>
              </w:rPr>
            </w:pPr>
            <w:r w:rsidRPr="00C43C35">
              <w:rPr>
                <w:b/>
                <w:bCs/>
              </w:rPr>
              <w:t>685,5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ind w:left="318"/>
              <w:rPr>
                <w:color w:val="000000"/>
              </w:rPr>
            </w:pPr>
            <w:r w:rsidRPr="00C43C35">
              <w:rPr>
                <w:color w:val="000000"/>
              </w:rPr>
              <w:t>за счет целевых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  <w:r w:rsidRPr="00C43C35">
              <w:rPr>
                <w:bCs/>
              </w:rPr>
              <w:t>225,1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</w:tr>
      <w:tr w:rsidR="00C43C35" w:rsidRPr="00C43C35" w:rsidTr="004B16A0">
        <w:trPr>
          <w:trHeight w:val="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spacing w:line="223" w:lineRule="auto"/>
              <w:ind w:left="318"/>
              <w:rPr>
                <w:color w:val="000000"/>
              </w:rPr>
            </w:pPr>
            <w:r w:rsidRPr="00C43C35">
              <w:rPr>
                <w:color w:val="000000"/>
              </w:rPr>
              <w:t>за счет средств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3C35" w:rsidRPr="00C43C35" w:rsidRDefault="00C43C35" w:rsidP="00C43C35">
            <w:pPr>
              <w:spacing w:line="247" w:lineRule="auto"/>
              <w:jc w:val="right"/>
              <w:rPr>
                <w:bCs/>
              </w:rPr>
            </w:pPr>
            <w:r w:rsidRPr="00C43C35">
              <w:rPr>
                <w:bCs/>
              </w:rPr>
              <w:t>460,4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C35" w:rsidRPr="00C43C35" w:rsidRDefault="00C43C35" w:rsidP="00C43C35">
            <w:pPr>
              <w:jc w:val="right"/>
              <w:rPr>
                <w:bCs/>
                <w:color w:val="000000"/>
              </w:rPr>
            </w:pPr>
          </w:p>
        </w:tc>
      </w:tr>
    </w:tbl>
    <w:p w:rsidR="00C43C35" w:rsidRPr="00C43C35" w:rsidRDefault="00C43C35" w:rsidP="00C43C35">
      <w:pPr>
        <w:ind w:firstLine="709"/>
        <w:jc w:val="both"/>
        <w:rPr>
          <w:b/>
          <w:color w:val="000000"/>
        </w:rPr>
      </w:pP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Кроме того, в 2018-2020 годах зарезервированы средства на стимулирование муниципальных образований области для полной мобилизации налогового потенциала территорий в суммах 146,6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369,6 млн рублей и 242,0 млн рублей по годам соответственно, а также предусмотрено ежегодно по 20,0 млн рублей на предоставление субсидий на реализацию проектов развития муниципальных образований области, основанных на местных инициативах, распределяемых на конкурсной основе.</w:t>
      </w:r>
    </w:p>
    <w:p w:rsidR="00C43C35" w:rsidRPr="00C43C35" w:rsidRDefault="00C43C35" w:rsidP="00C43C35">
      <w:pPr>
        <w:jc w:val="center"/>
        <w:rPr>
          <w:sz w:val="28"/>
          <w:szCs w:val="28"/>
        </w:rPr>
      </w:pPr>
    </w:p>
    <w:p w:rsidR="00C43C35" w:rsidRPr="00C43C35" w:rsidRDefault="00C43C35" w:rsidP="00C43C35">
      <w:pPr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  <w:lang w:val="en-US"/>
        </w:rPr>
        <w:t>VII</w:t>
      </w:r>
      <w:r w:rsidRPr="00C43C35">
        <w:rPr>
          <w:b/>
          <w:sz w:val="28"/>
          <w:szCs w:val="28"/>
        </w:rPr>
        <w:t xml:space="preserve">. Дефицит областного бюджета, </w:t>
      </w:r>
    </w:p>
    <w:p w:rsidR="00C43C35" w:rsidRPr="00C43C35" w:rsidRDefault="00C43C35" w:rsidP="00C43C35">
      <w:pPr>
        <w:jc w:val="center"/>
        <w:rPr>
          <w:b/>
          <w:sz w:val="28"/>
          <w:szCs w:val="28"/>
        </w:rPr>
      </w:pPr>
      <w:r w:rsidRPr="00C43C35">
        <w:rPr>
          <w:b/>
          <w:sz w:val="28"/>
          <w:szCs w:val="28"/>
        </w:rPr>
        <w:t>государственный долг области и его обслуживание</w:t>
      </w:r>
    </w:p>
    <w:p w:rsidR="00C43C35" w:rsidRPr="00C43C35" w:rsidRDefault="00C43C35" w:rsidP="00C43C35">
      <w:pPr>
        <w:jc w:val="center"/>
        <w:rPr>
          <w:sz w:val="28"/>
          <w:szCs w:val="28"/>
        </w:rPr>
      </w:pP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proofErr w:type="gramStart"/>
      <w:r w:rsidRPr="00C43C35">
        <w:rPr>
          <w:sz w:val="28"/>
          <w:szCs w:val="28"/>
        </w:rPr>
        <w:t xml:space="preserve">В соответствии с условиями, установленными Минфином России в </w:t>
      </w:r>
      <w:bookmarkStart w:id="2" w:name="_GoBack"/>
      <w:r w:rsidRPr="00C43C35">
        <w:rPr>
          <w:sz w:val="28"/>
          <w:szCs w:val="28"/>
        </w:rPr>
        <w:t xml:space="preserve">соглашениях о предоставлении в 2017 году Саратовской области бюджетных кредитов и планируемыми к установлению при реструктуризации бюджетных кредитов, областной бюджет сформирован на 2018 без дефицита, на плановый период 2019 и 2020 годы – с профицитом, который будет направлен на погашение планируемых к реструктуризации бюджетных кредитов. </w:t>
      </w:r>
      <w:proofErr w:type="gramEnd"/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В 2018 году предусмотрено осуществление банковских заимствований в размере, необходимом для погашения задолженности по ранее привлеченным банковским кредитам в сумме 8200,0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 и по бюджетным кредитам в сумме 1181,6 млн рублей. 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В 2019 году привлечение банковских заимствований и бюджетных кредитов не предусмотрено.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lastRenderedPageBreak/>
        <w:t xml:space="preserve">В 2020 году наступают сроки возврата банковских кредитов в сумме 4904,3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рублей. Источником финансового обеспечения для возврата указанных кредитов планируется привлечение банковских заимствований в этой же сумме.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proofErr w:type="gramStart"/>
      <w:r w:rsidRPr="00C43C35">
        <w:rPr>
          <w:sz w:val="28"/>
          <w:szCs w:val="28"/>
        </w:rPr>
        <w:t>Погашение бюджетных кредитов предусмотрено с учетом запланированной Минфином России реструктуризации задолженности с продлением на 7 лет срока возврата бюджетных кредитов, предоставленных в 2015-2017 годах, срок погашения которых наступает в 2018-2019 и в 2021-2022 годах, исходя из погашения бюджетных кредитов в 2018-2019 годах в объеме 5% суммы основного долга, в 2020 году - в объеме 10% суммы основного долга и в 2021-2024</w:t>
      </w:r>
      <w:proofErr w:type="gramEnd"/>
      <w:r w:rsidRPr="00C43C35">
        <w:rPr>
          <w:sz w:val="28"/>
          <w:szCs w:val="28"/>
        </w:rPr>
        <w:t xml:space="preserve"> </w:t>
      </w:r>
      <w:proofErr w:type="gramStart"/>
      <w:r w:rsidRPr="00C43C35">
        <w:rPr>
          <w:sz w:val="28"/>
          <w:szCs w:val="28"/>
        </w:rPr>
        <w:t>годах</w:t>
      </w:r>
      <w:proofErr w:type="gramEnd"/>
      <w:r w:rsidRPr="00C43C35">
        <w:rPr>
          <w:sz w:val="28"/>
          <w:szCs w:val="28"/>
        </w:rPr>
        <w:t xml:space="preserve"> – в объеме 20% суммы основного долга.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Таким образом, погашение реструктурированной задолженности по бюджетным кредитам, предоставленным из федерального бюджета,  планируется в 2018 - 2019 годах в размере 1181,6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 и в 2020 году – 2363,1 млн рублей.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Предоставление бюджетных кредитов местным бюджетам в 2018 году запланировано в размере 354,6 </w:t>
      </w:r>
      <w:proofErr w:type="gramStart"/>
      <w:r w:rsidRPr="00C43C35">
        <w:rPr>
          <w:sz w:val="28"/>
          <w:szCs w:val="28"/>
        </w:rPr>
        <w:t>млн</w:t>
      </w:r>
      <w:proofErr w:type="gramEnd"/>
      <w:r w:rsidRPr="00C43C35">
        <w:rPr>
          <w:sz w:val="28"/>
          <w:szCs w:val="28"/>
        </w:rPr>
        <w:t xml:space="preserve"> рублей, в том числе для покрытия временных кассовых разрывов со сроком возврата в течение финансового года – 100,0 млн рублей и для частичного покрытия дефицитов местных бюджетов со сроком пользования до 3-х лет – 254,6 млн рублей (в пределах общей суммы возвратов бюджетных кредитов из бюджетов муниципальных образований). 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В соответствии с рекомендациями Минфина России проведение реструктуризации задолженности местных бюджетов с частичным списанием основного долга в следующем бюджетном цикле проводиться не будет. Плата за пользование бюджетными кредитами не увеличится и составит 0,1%. При этом обязательным условием для предоставления бюджетных кредитов местным бюджетам будет ограничение ставок по привлекаемым ими кредитам кредитных организаций на уровне «ключевая ставка Центробанка России +1 процентный пункт». 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proofErr w:type="gramStart"/>
      <w:r w:rsidRPr="00C43C35">
        <w:rPr>
          <w:sz w:val="28"/>
          <w:szCs w:val="28"/>
        </w:rPr>
        <w:t>Долговая политика на среднесрочную перспективу будет направлена на снижение соотношения государственного долга области к общему объему доходов бюджета без учета безвозмездных поступлений, в соответствии с рекомендациями Министерства финансов Российской Федерации по проведению субъектами Российской Федерации ответственной заемной/долговой политики и Основными направлениями государственной долговой политики Российской Федерации на 2017-2019 годы, утвержденной Министерством финансов Российской Федерации.</w:t>
      </w:r>
      <w:proofErr w:type="gramEnd"/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На основании вышеуказанных рекомендаций основными направлениями долговой политики области на 2018 год и на плановый период 2019 и 2020 годов будут являться: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 xml:space="preserve">– оптимизация структуры долгового портфеля области и минимизация стоимости обслуживания </w:t>
      </w:r>
      <w:proofErr w:type="gramStart"/>
      <w:r w:rsidRPr="00C43C35">
        <w:rPr>
          <w:sz w:val="28"/>
          <w:szCs w:val="28"/>
        </w:rPr>
        <w:t>заимствований</w:t>
      </w:r>
      <w:proofErr w:type="gramEnd"/>
      <w:r w:rsidRPr="00C43C35">
        <w:rPr>
          <w:sz w:val="28"/>
          <w:szCs w:val="28"/>
        </w:rPr>
        <w:t xml:space="preserve"> как на региональном так и на местном уровнях;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lastRenderedPageBreak/>
        <w:t xml:space="preserve">– поэтапное снижение соотношения государственного долга области к объему налоговых и неналоговых доходов областного бюджета; 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активное использование государственных ценных бумаг;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равномерное распределение выплат по обслуживанию и погашению государственного долга области по годам с целью исключения «пиков» выплат по долговым обязательствам;</w:t>
      </w:r>
    </w:p>
    <w:p w:rsidR="00C43C35" w:rsidRPr="00C43C35" w:rsidRDefault="00C43C35" w:rsidP="00C43C35">
      <w:pPr>
        <w:ind w:firstLine="709"/>
        <w:jc w:val="both"/>
        <w:rPr>
          <w:sz w:val="28"/>
          <w:szCs w:val="28"/>
        </w:rPr>
      </w:pPr>
      <w:r w:rsidRPr="00C43C35">
        <w:rPr>
          <w:sz w:val="28"/>
          <w:szCs w:val="28"/>
        </w:rPr>
        <w:t>– гибкое реагирование на изменяющиеся условия финансовых рынков и использование наиболее благоприятных форм заимствований;</w:t>
      </w:r>
    </w:p>
    <w:p w:rsidR="00C43C35" w:rsidRPr="00C43C35" w:rsidRDefault="00C43C35" w:rsidP="00C43C35">
      <w:pPr>
        <w:ind w:firstLine="709"/>
        <w:jc w:val="both"/>
        <w:rPr>
          <w:bCs/>
          <w:spacing w:val="-6"/>
          <w:sz w:val="28"/>
          <w:szCs w:val="28"/>
        </w:rPr>
      </w:pPr>
      <w:r w:rsidRPr="00C43C35">
        <w:rPr>
          <w:sz w:val="28"/>
          <w:szCs w:val="28"/>
        </w:rPr>
        <w:t>– повышение уровня долговой устойчивости области.</w:t>
      </w:r>
    </w:p>
    <w:p w:rsidR="00C43C35" w:rsidRPr="00C43C35" w:rsidRDefault="00C43C35" w:rsidP="00C43C35">
      <w:pPr>
        <w:ind w:firstLine="709"/>
        <w:jc w:val="both"/>
        <w:rPr>
          <w:color w:val="000000"/>
          <w:spacing w:val="-6"/>
          <w:sz w:val="28"/>
          <w:szCs w:val="28"/>
        </w:rPr>
      </w:pPr>
    </w:p>
    <w:bookmarkEnd w:id="2"/>
    <w:p w:rsidR="00CD7DCB" w:rsidRPr="00C43C35" w:rsidRDefault="00CD7DCB" w:rsidP="00C43C35"/>
    <w:sectPr w:rsidR="00CD7DCB" w:rsidRPr="00C43C35" w:rsidSect="00F1736A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43C35">
      <w:r>
        <w:separator/>
      </w:r>
    </w:p>
  </w:endnote>
  <w:endnote w:type="continuationSeparator" w:id="0">
    <w:p w:rsidR="00000000" w:rsidRDefault="00C4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43C35">
      <w:r>
        <w:separator/>
      </w:r>
    </w:p>
  </w:footnote>
  <w:footnote w:type="continuationSeparator" w:id="0">
    <w:p w:rsidR="00000000" w:rsidRDefault="00C43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253" w:rsidRDefault="00FD1CBE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</w:t>
    </w:r>
    <w:r>
      <w:rPr>
        <w:rStyle w:val="af0"/>
      </w:rPr>
      <w:fldChar w:fldCharType="end"/>
    </w:r>
  </w:p>
  <w:p w:rsidR="005B4253" w:rsidRDefault="00C43C35" w:rsidP="00E4485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253" w:rsidRDefault="00FD1CBE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43C35">
      <w:rPr>
        <w:rStyle w:val="af0"/>
        <w:noProof/>
      </w:rPr>
      <w:t>4</w:t>
    </w:r>
    <w:r>
      <w:rPr>
        <w:rStyle w:val="af0"/>
      </w:rPr>
      <w:fldChar w:fldCharType="end"/>
    </w:r>
  </w:p>
  <w:p w:rsidR="005B4253" w:rsidRDefault="00C43C35" w:rsidP="00E4485B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BE"/>
    <w:rsid w:val="00C43C35"/>
    <w:rsid w:val="00CD7DCB"/>
    <w:rsid w:val="00FD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D1CB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D1C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rsid w:val="00FD1C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FD1C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FD1C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D1CB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FD1C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D1CB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1C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Char">
    <w:name w:val="Знак1 Знак Знак Знак Знак Знак Знак Знак Знак1 Char"/>
    <w:basedOn w:val="a"/>
    <w:rsid w:val="00FD1CB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FD1CB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FD1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ody Text"/>
    <w:basedOn w:val="a"/>
    <w:link w:val="ad"/>
    <w:rsid w:val="00FD1CBE"/>
    <w:pPr>
      <w:spacing w:after="120"/>
    </w:pPr>
  </w:style>
  <w:style w:type="character" w:customStyle="1" w:styleId="ad">
    <w:name w:val="Основной текст Знак"/>
    <w:basedOn w:val="a0"/>
    <w:link w:val="ac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FD1CBE"/>
    <w:pPr>
      <w:spacing w:after="120"/>
      <w:ind w:left="283"/>
    </w:p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D1C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FD1C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page number"/>
    <w:basedOn w:val="a0"/>
    <w:rsid w:val="00FD1CBE"/>
  </w:style>
  <w:style w:type="paragraph" w:customStyle="1" w:styleId="ConsTitle">
    <w:name w:val="ConsTitle"/>
    <w:rsid w:val="00FD1CB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1">
    <w:name w:val="Normal (Web)"/>
    <w:basedOn w:val="a"/>
    <w:rsid w:val="00FD1CBE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FD1CBE"/>
    <w:pPr>
      <w:ind w:firstLine="425"/>
      <w:jc w:val="both"/>
    </w:pPr>
    <w:rPr>
      <w:rFonts w:ascii="Arial Narrow" w:hAnsi="Arial Narrow"/>
      <w:sz w:val="20"/>
      <w:szCs w:val="20"/>
    </w:rPr>
  </w:style>
  <w:style w:type="paragraph" w:styleId="2">
    <w:name w:val="Body Text First Indent 2"/>
    <w:basedOn w:val="ae"/>
    <w:link w:val="20"/>
    <w:rsid w:val="00FD1CBE"/>
    <w:pPr>
      <w:spacing w:after="0"/>
      <w:ind w:left="360" w:firstLine="360"/>
    </w:pPr>
  </w:style>
  <w:style w:type="character" w:customStyle="1" w:styleId="20">
    <w:name w:val="Красная строка 2 Знак"/>
    <w:basedOn w:val="af"/>
    <w:link w:val="2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1C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FD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C43C35"/>
  </w:style>
  <w:style w:type="table" w:customStyle="1" w:styleId="21">
    <w:name w:val="Сетка таблицы2"/>
    <w:basedOn w:val="a1"/>
    <w:next w:val="a9"/>
    <w:uiPriority w:val="59"/>
    <w:rsid w:val="00C43C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C4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D1CB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D1C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rsid w:val="00FD1C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FD1C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FD1C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D1CB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FD1C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D1CB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1C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Char">
    <w:name w:val="Знак1 Знак Знак Знак Знак Знак Знак Знак Знак1 Char"/>
    <w:basedOn w:val="a"/>
    <w:rsid w:val="00FD1CB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FD1CB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FD1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ody Text"/>
    <w:basedOn w:val="a"/>
    <w:link w:val="ad"/>
    <w:rsid w:val="00FD1CBE"/>
    <w:pPr>
      <w:spacing w:after="120"/>
    </w:pPr>
  </w:style>
  <w:style w:type="character" w:customStyle="1" w:styleId="ad">
    <w:name w:val="Основной текст Знак"/>
    <w:basedOn w:val="a0"/>
    <w:link w:val="ac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FD1CBE"/>
    <w:pPr>
      <w:spacing w:after="120"/>
      <w:ind w:left="283"/>
    </w:p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D1C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FD1C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page number"/>
    <w:basedOn w:val="a0"/>
    <w:rsid w:val="00FD1CBE"/>
  </w:style>
  <w:style w:type="paragraph" w:customStyle="1" w:styleId="ConsTitle">
    <w:name w:val="ConsTitle"/>
    <w:rsid w:val="00FD1CB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f1">
    <w:name w:val="Normal (Web)"/>
    <w:basedOn w:val="a"/>
    <w:rsid w:val="00FD1CBE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FD1CBE"/>
    <w:pPr>
      <w:ind w:firstLine="425"/>
      <w:jc w:val="both"/>
    </w:pPr>
    <w:rPr>
      <w:rFonts w:ascii="Arial Narrow" w:hAnsi="Arial Narrow"/>
      <w:sz w:val="20"/>
      <w:szCs w:val="20"/>
    </w:rPr>
  </w:style>
  <w:style w:type="paragraph" w:styleId="2">
    <w:name w:val="Body Text First Indent 2"/>
    <w:basedOn w:val="ae"/>
    <w:link w:val="20"/>
    <w:rsid w:val="00FD1CBE"/>
    <w:pPr>
      <w:spacing w:after="0"/>
      <w:ind w:left="360" w:firstLine="360"/>
    </w:pPr>
  </w:style>
  <w:style w:type="character" w:customStyle="1" w:styleId="20">
    <w:name w:val="Красная строка 2 Знак"/>
    <w:basedOn w:val="af"/>
    <w:link w:val="2"/>
    <w:rsid w:val="00FD1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1C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FD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C43C35"/>
  </w:style>
  <w:style w:type="table" w:customStyle="1" w:styleId="21">
    <w:name w:val="Сетка таблицы2"/>
    <w:basedOn w:val="a1"/>
    <w:next w:val="a9"/>
    <w:uiPriority w:val="59"/>
    <w:rsid w:val="00C43C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C4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14522</TotalTime>
  <Pages>17</Pages>
  <Words>6131</Words>
  <Characters>34947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2017-10-10T06:34:00Z</dcterms:created>
  <dcterms:modified xsi:type="dcterms:W3CDTF">2017-10-20T07:18:00Z</dcterms:modified>
</cp:coreProperties>
</file>