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026" w:rsidRPr="00B32026" w:rsidRDefault="00B32026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ПОСТАНОВЛЕНИЕ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от 17 августа 2015 г. N 412-П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"РАЗВИТИЕ ПРОМЫШЛЕННОСТИ В САРАТОВСКОЙ ОБЛАСТИ"</w:t>
      </w:r>
    </w:p>
    <w:p w:rsidR="00B32026" w:rsidRPr="00B32026" w:rsidRDefault="00B3202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32026" w:rsidRPr="00B320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14.07.2016 </w:t>
            </w:r>
            <w:hyperlink r:id="rId5">
              <w:r w:rsidRPr="00B32026">
                <w:rPr>
                  <w:rFonts w:ascii="PT Astra Serif" w:hAnsi="PT Astra Serif"/>
                  <w:sz w:val="28"/>
                  <w:szCs w:val="28"/>
                </w:rPr>
                <w:t>N 366-П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15.05.2017 </w:t>
            </w:r>
            <w:hyperlink r:id="rId6">
              <w:r w:rsidRPr="00B32026">
                <w:rPr>
                  <w:rFonts w:ascii="PT Astra Serif" w:hAnsi="PT Astra Serif"/>
                  <w:sz w:val="28"/>
                  <w:szCs w:val="28"/>
                </w:rPr>
                <w:t>N 241-П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29.12.2017 </w:t>
            </w:r>
            <w:hyperlink r:id="rId7">
              <w:r w:rsidRPr="00B32026">
                <w:rPr>
                  <w:rFonts w:ascii="PT Astra Serif" w:hAnsi="PT Astra Serif"/>
                  <w:sz w:val="28"/>
                  <w:szCs w:val="28"/>
                </w:rPr>
                <w:t>N 722-П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05.03.2018 </w:t>
            </w:r>
            <w:hyperlink r:id="rId8">
              <w:r w:rsidRPr="00B32026">
                <w:rPr>
                  <w:rFonts w:ascii="PT Astra Serif" w:hAnsi="PT Astra Serif"/>
                  <w:sz w:val="28"/>
                  <w:szCs w:val="28"/>
                </w:rPr>
                <w:t>N 105-П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11.10.2018 </w:t>
            </w:r>
            <w:hyperlink r:id="rId9">
              <w:r w:rsidRPr="00B32026">
                <w:rPr>
                  <w:rFonts w:ascii="PT Astra Serif" w:hAnsi="PT Astra Serif"/>
                  <w:sz w:val="28"/>
                  <w:szCs w:val="28"/>
                </w:rPr>
                <w:t>N 560-П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29.12.2018 </w:t>
            </w:r>
            <w:hyperlink r:id="rId10">
              <w:r w:rsidRPr="00B32026">
                <w:rPr>
                  <w:rFonts w:ascii="PT Astra Serif" w:hAnsi="PT Astra Serif"/>
                  <w:sz w:val="28"/>
                  <w:szCs w:val="28"/>
                </w:rPr>
                <w:t>N 752-П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02.10.2019 </w:t>
            </w:r>
            <w:hyperlink r:id="rId11">
              <w:r w:rsidRPr="00B32026">
                <w:rPr>
                  <w:rFonts w:ascii="PT Astra Serif" w:hAnsi="PT Astra Serif"/>
                  <w:sz w:val="28"/>
                  <w:szCs w:val="28"/>
                </w:rPr>
                <w:t>N 697-П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18.12.2019 </w:t>
            </w:r>
            <w:hyperlink r:id="rId12">
              <w:r w:rsidRPr="00B32026">
                <w:rPr>
                  <w:rFonts w:ascii="PT Astra Serif" w:hAnsi="PT Astra Serif"/>
                  <w:sz w:val="28"/>
                  <w:szCs w:val="28"/>
                </w:rPr>
                <w:t>N 884-П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25.12.2019 </w:t>
            </w:r>
            <w:hyperlink r:id="rId13">
              <w:r w:rsidRPr="00B32026">
                <w:rPr>
                  <w:rFonts w:ascii="PT Astra Serif" w:hAnsi="PT Astra Serif"/>
                  <w:sz w:val="28"/>
                  <w:szCs w:val="28"/>
                </w:rPr>
                <w:t>N 915-П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02.12.2020 </w:t>
            </w:r>
            <w:hyperlink r:id="rId14">
              <w:r w:rsidRPr="00B32026">
                <w:rPr>
                  <w:rFonts w:ascii="PT Astra Serif" w:hAnsi="PT Astra Serif"/>
                  <w:sz w:val="28"/>
                  <w:szCs w:val="28"/>
                </w:rPr>
                <w:t>N 955-П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03.12.2020 </w:t>
            </w:r>
            <w:hyperlink r:id="rId15">
              <w:r w:rsidRPr="00B32026">
                <w:rPr>
                  <w:rFonts w:ascii="PT Astra Serif" w:hAnsi="PT Astra Serif"/>
                  <w:sz w:val="28"/>
                  <w:szCs w:val="28"/>
                </w:rPr>
                <w:t>N 960-П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15.04.2021 </w:t>
            </w:r>
            <w:hyperlink r:id="rId16">
              <w:r w:rsidRPr="00B32026">
                <w:rPr>
                  <w:rFonts w:ascii="PT Astra Serif" w:hAnsi="PT Astra Serif"/>
                  <w:sz w:val="28"/>
                  <w:szCs w:val="28"/>
                </w:rPr>
                <w:t>N 259-П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30.08.2021 </w:t>
            </w:r>
            <w:hyperlink r:id="rId17">
              <w:r w:rsidRPr="00B32026">
                <w:rPr>
                  <w:rFonts w:ascii="PT Astra Serif" w:hAnsi="PT Astra Serif"/>
                  <w:sz w:val="28"/>
                  <w:szCs w:val="28"/>
                </w:rPr>
                <w:t>N 712-П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08.11.2021 </w:t>
            </w:r>
            <w:hyperlink r:id="rId18">
              <w:r w:rsidRPr="00B32026">
                <w:rPr>
                  <w:rFonts w:ascii="PT Astra Serif" w:hAnsi="PT Astra Serif"/>
                  <w:sz w:val="28"/>
                  <w:szCs w:val="28"/>
                </w:rPr>
                <w:t>N 954-П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01.12.2021 </w:t>
            </w:r>
            <w:hyperlink r:id="rId19">
              <w:r w:rsidRPr="00B32026">
                <w:rPr>
                  <w:rFonts w:ascii="PT Astra Serif" w:hAnsi="PT Astra Serif"/>
                  <w:sz w:val="28"/>
                  <w:szCs w:val="28"/>
                </w:rPr>
                <w:t>N 1035-П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16.12.2021 </w:t>
            </w:r>
            <w:hyperlink r:id="rId20">
              <w:r w:rsidRPr="00B32026">
                <w:rPr>
                  <w:rFonts w:ascii="PT Astra Serif" w:hAnsi="PT Astra Serif"/>
                  <w:sz w:val="28"/>
                  <w:szCs w:val="28"/>
                </w:rPr>
                <w:t>N 1099-П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24.01.2022 </w:t>
            </w:r>
            <w:hyperlink r:id="rId21">
              <w:r w:rsidRPr="00B32026">
                <w:rPr>
                  <w:rFonts w:ascii="PT Astra Serif" w:hAnsi="PT Astra Serif"/>
                  <w:sz w:val="28"/>
                  <w:szCs w:val="28"/>
                </w:rPr>
                <w:t>N 33-П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29.04.2022 </w:t>
            </w:r>
            <w:hyperlink r:id="rId22">
              <w:r w:rsidRPr="00B32026">
                <w:rPr>
                  <w:rFonts w:ascii="PT Astra Serif" w:hAnsi="PT Astra Serif"/>
                  <w:sz w:val="28"/>
                  <w:szCs w:val="28"/>
                </w:rPr>
                <w:t>N 326-П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08.07.2022 </w:t>
            </w:r>
            <w:hyperlink r:id="rId23">
              <w:r w:rsidRPr="00B32026">
                <w:rPr>
                  <w:rFonts w:ascii="PT Astra Serif" w:hAnsi="PT Astra Serif"/>
                  <w:sz w:val="28"/>
                  <w:szCs w:val="28"/>
                </w:rPr>
                <w:t>N 592-П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08.12.2022 </w:t>
            </w:r>
            <w:hyperlink r:id="rId24">
              <w:r w:rsidRPr="00B32026">
                <w:rPr>
                  <w:rFonts w:ascii="PT Astra Serif" w:hAnsi="PT Astra Serif"/>
                  <w:sz w:val="28"/>
                  <w:szCs w:val="28"/>
                </w:rPr>
                <w:t>N 1209-П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05.05.2023 </w:t>
            </w:r>
            <w:hyperlink r:id="rId25">
              <w:r w:rsidRPr="00B32026">
                <w:rPr>
                  <w:rFonts w:ascii="PT Astra Serif" w:hAnsi="PT Astra Serif"/>
                  <w:sz w:val="28"/>
                  <w:szCs w:val="28"/>
                </w:rPr>
                <w:t>N 404-П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26.06.2023 </w:t>
            </w:r>
            <w:hyperlink r:id="rId26">
              <w:r w:rsidRPr="00B32026">
                <w:rPr>
                  <w:rFonts w:ascii="PT Astra Serif" w:hAnsi="PT Astra Serif"/>
                  <w:sz w:val="28"/>
                  <w:szCs w:val="28"/>
                </w:rPr>
                <w:t>N 559-П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02.11.2023 </w:t>
            </w:r>
            <w:hyperlink r:id="rId27">
              <w:r w:rsidRPr="00B32026">
                <w:rPr>
                  <w:rFonts w:ascii="PT Astra Serif" w:hAnsi="PT Astra Serif"/>
                  <w:sz w:val="28"/>
                  <w:szCs w:val="28"/>
                </w:rPr>
                <w:t>N 1010-П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16.11.2023 </w:t>
            </w:r>
            <w:hyperlink r:id="rId28">
              <w:r w:rsidRPr="00B32026">
                <w:rPr>
                  <w:rFonts w:ascii="PT Astra Serif" w:hAnsi="PT Astra Serif"/>
                  <w:sz w:val="28"/>
                  <w:szCs w:val="28"/>
                </w:rPr>
                <w:t>N 1058-П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26.12.2023 </w:t>
            </w:r>
            <w:hyperlink r:id="rId29">
              <w:r w:rsidRPr="00B32026">
                <w:rPr>
                  <w:rFonts w:ascii="PT Astra Serif" w:hAnsi="PT Astra Serif"/>
                  <w:sz w:val="28"/>
                  <w:szCs w:val="28"/>
                </w:rPr>
                <w:t>N 1236-П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30">
              <w:r w:rsidRPr="00B32026">
                <w:rPr>
                  <w:rFonts w:ascii="PT Astra Serif" w:hAnsi="PT Astra Serif"/>
                  <w:sz w:val="28"/>
                  <w:szCs w:val="28"/>
                </w:rPr>
                <w:t>N 1263-П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23.01.2024 </w:t>
            </w:r>
            <w:hyperlink r:id="rId31">
              <w:r w:rsidRPr="00B32026">
                <w:rPr>
                  <w:rFonts w:ascii="PT Astra Serif" w:hAnsi="PT Astra Serif"/>
                  <w:sz w:val="28"/>
                  <w:szCs w:val="28"/>
                </w:rPr>
                <w:t>N 38-П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15.04.2024 </w:t>
            </w:r>
            <w:hyperlink r:id="rId32">
              <w:r w:rsidRPr="00B32026">
                <w:rPr>
                  <w:rFonts w:ascii="PT Astra Serif" w:hAnsi="PT Astra Serif"/>
                  <w:sz w:val="28"/>
                  <w:szCs w:val="28"/>
                </w:rPr>
                <w:t>N 293-П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09.07.2024 </w:t>
            </w:r>
            <w:hyperlink r:id="rId33">
              <w:r w:rsidRPr="00B32026">
                <w:rPr>
                  <w:rFonts w:ascii="PT Astra Serif" w:hAnsi="PT Astra Serif"/>
                  <w:sz w:val="28"/>
                  <w:szCs w:val="28"/>
                </w:rPr>
                <w:t>N 580-П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07.11.2024 </w:t>
            </w:r>
            <w:hyperlink r:id="rId34">
              <w:r w:rsidRPr="00B32026">
                <w:rPr>
                  <w:rFonts w:ascii="PT Astra Serif" w:hAnsi="PT Astra Serif"/>
                  <w:sz w:val="28"/>
                  <w:szCs w:val="28"/>
                </w:rPr>
                <w:t>N 922-П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13.12.2024 </w:t>
            </w:r>
            <w:hyperlink r:id="rId35">
              <w:r w:rsidRPr="00B32026">
                <w:rPr>
                  <w:rFonts w:ascii="PT Astra Serif" w:hAnsi="PT Astra Serif"/>
                  <w:sz w:val="28"/>
                  <w:szCs w:val="28"/>
                </w:rPr>
                <w:t>N 1045-П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36">
              <w:r w:rsidRPr="00B32026">
                <w:rPr>
                  <w:rFonts w:ascii="PT Astra Serif" w:hAnsi="PT Astra Serif"/>
                  <w:sz w:val="28"/>
                  <w:szCs w:val="28"/>
                </w:rPr>
                <w:t>N 1126-П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На основании </w:t>
      </w:r>
      <w:hyperlink r:id="rId37">
        <w:r w:rsidRPr="00B32026">
          <w:rPr>
            <w:rFonts w:ascii="PT Astra Serif" w:hAnsi="PT Astra Serif"/>
            <w:sz w:val="28"/>
            <w:szCs w:val="28"/>
          </w:rPr>
          <w:t>Устава</w:t>
        </w:r>
      </w:hyperlink>
      <w:r w:rsidRPr="00B32026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38">
        <w:r w:rsidRPr="00B32026">
          <w:rPr>
            <w:rFonts w:ascii="PT Astra Serif" w:hAnsi="PT Astra Serif"/>
            <w:sz w:val="28"/>
            <w:szCs w:val="28"/>
          </w:rPr>
          <w:t>Закона</w:t>
        </w:r>
      </w:hyperlink>
      <w:r w:rsidRPr="00B32026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1. Утвердить государственную </w:t>
      </w:r>
      <w:hyperlink w:anchor="P41">
        <w:r w:rsidRPr="00B32026">
          <w:rPr>
            <w:rFonts w:ascii="PT Astra Serif" w:hAnsi="PT Astra Serif"/>
            <w:sz w:val="28"/>
            <w:szCs w:val="28"/>
          </w:rPr>
          <w:t>программу</w:t>
        </w:r>
      </w:hyperlink>
      <w:r w:rsidRPr="00B32026">
        <w:rPr>
          <w:rFonts w:ascii="PT Astra Serif" w:hAnsi="PT Astra Serif"/>
          <w:sz w:val="28"/>
          <w:szCs w:val="28"/>
        </w:rPr>
        <w:t xml:space="preserve"> Саратовской области "Развитие промышленности в Саратовской области" согласно приложению.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(</w:t>
      </w:r>
      <w:proofErr w:type="gramStart"/>
      <w:r w:rsidRPr="00B32026">
        <w:rPr>
          <w:rFonts w:ascii="PT Astra Serif" w:hAnsi="PT Astra Serif"/>
          <w:sz w:val="28"/>
          <w:szCs w:val="28"/>
        </w:rPr>
        <w:t>в</w:t>
      </w:r>
      <w:proofErr w:type="gramEnd"/>
      <w:r w:rsidRPr="00B32026">
        <w:rPr>
          <w:rFonts w:ascii="PT Astra Serif" w:hAnsi="PT Astra Serif"/>
          <w:sz w:val="28"/>
          <w:szCs w:val="28"/>
        </w:rPr>
        <w:t xml:space="preserve"> ред. </w:t>
      </w:r>
      <w:hyperlink r:id="rId39">
        <w:r w:rsidRPr="00B3202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32026">
        <w:rPr>
          <w:rFonts w:ascii="PT Astra Serif" w:hAnsi="PT Astra Serif"/>
          <w:sz w:val="28"/>
          <w:szCs w:val="28"/>
        </w:rPr>
        <w:t xml:space="preserve"> Правительства Саратовской области от 05.03.2018 N 105-П)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3. Настоящее постановление вступает в силу с 1 января 2016 года.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Губернатор</w:t>
      </w: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Саратовской области</w:t>
      </w: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В.В.РАДАЕВ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0" w:name="_GoBack"/>
      <w:bookmarkEnd w:id="0"/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к постановлению</w:t>
      </w: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от 17 августа 2015 г. N 412-П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41"/>
      <w:bookmarkEnd w:id="1"/>
      <w:r w:rsidRPr="00B32026">
        <w:rPr>
          <w:rFonts w:ascii="PT Astra Serif" w:hAnsi="PT Astra Serif"/>
          <w:sz w:val="28"/>
          <w:szCs w:val="28"/>
        </w:rPr>
        <w:t>ГОСУДАРСТВЕННАЯ ПРОГРАММА САРАТОВСКОЙ ОБЛАСТИ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"РАЗВИТИЕ ПРОМЫШЛЕННОСТИ В САРАТОВСКОЙ ОБЛАСТИ"</w:t>
      </w:r>
    </w:p>
    <w:p w:rsidR="00B32026" w:rsidRPr="00B32026" w:rsidRDefault="00B3202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32026" w:rsidRPr="00B320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05.05.2023 </w:t>
            </w:r>
            <w:hyperlink r:id="rId40">
              <w:r w:rsidRPr="00B32026">
                <w:rPr>
                  <w:rFonts w:ascii="PT Astra Serif" w:hAnsi="PT Astra Serif"/>
                  <w:sz w:val="28"/>
                  <w:szCs w:val="28"/>
                </w:rPr>
                <w:t>N 404-П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26.06.2023 </w:t>
            </w:r>
            <w:hyperlink r:id="rId41">
              <w:r w:rsidRPr="00B32026">
                <w:rPr>
                  <w:rFonts w:ascii="PT Astra Serif" w:hAnsi="PT Astra Serif"/>
                  <w:sz w:val="28"/>
                  <w:szCs w:val="28"/>
                </w:rPr>
                <w:t>N 559-П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02.11.2023 </w:t>
            </w:r>
            <w:hyperlink r:id="rId42">
              <w:r w:rsidRPr="00B32026">
                <w:rPr>
                  <w:rFonts w:ascii="PT Astra Serif" w:hAnsi="PT Astra Serif"/>
                  <w:sz w:val="28"/>
                  <w:szCs w:val="28"/>
                </w:rPr>
                <w:t>N 1010-П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16.11.2023 </w:t>
            </w:r>
            <w:hyperlink r:id="rId43">
              <w:r w:rsidRPr="00B32026">
                <w:rPr>
                  <w:rFonts w:ascii="PT Astra Serif" w:hAnsi="PT Astra Serif"/>
                  <w:sz w:val="28"/>
                  <w:szCs w:val="28"/>
                </w:rPr>
                <w:t>N 1058-П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26.12.2023 </w:t>
            </w:r>
            <w:hyperlink r:id="rId44">
              <w:r w:rsidRPr="00B32026">
                <w:rPr>
                  <w:rFonts w:ascii="PT Astra Serif" w:hAnsi="PT Astra Serif"/>
                  <w:sz w:val="28"/>
                  <w:szCs w:val="28"/>
                </w:rPr>
                <w:t>N 1236-П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45">
              <w:r w:rsidRPr="00B32026">
                <w:rPr>
                  <w:rFonts w:ascii="PT Astra Serif" w:hAnsi="PT Astra Serif"/>
                  <w:sz w:val="28"/>
                  <w:szCs w:val="28"/>
                </w:rPr>
                <w:t>N 1263-П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23.01.2024 </w:t>
            </w:r>
            <w:hyperlink r:id="rId46">
              <w:r w:rsidRPr="00B32026">
                <w:rPr>
                  <w:rFonts w:ascii="PT Astra Serif" w:hAnsi="PT Astra Serif"/>
                  <w:sz w:val="28"/>
                  <w:szCs w:val="28"/>
                </w:rPr>
                <w:t>N 38-П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15.04.2024 </w:t>
            </w:r>
            <w:hyperlink r:id="rId47">
              <w:r w:rsidRPr="00B32026">
                <w:rPr>
                  <w:rFonts w:ascii="PT Astra Serif" w:hAnsi="PT Astra Serif"/>
                  <w:sz w:val="28"/>
                  <w:szCs w:val="28"/>
                </w:rPr>
                <w:t>N 293-П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09.07.2024 </w:t>
            </w:r>
            <w:hyperlink r:id="rId48">
              <w:r w:rsidRPr="00B32026">
                <w:rPr>
                  <w:rFonts w:ascii="PT Astra Serif" w:hAnsi="PT Astra Serif"/>
                  <w:sz w:val="28"/>
                  <w:szCs w:val="28"/>
                </w:rPr>
                <w:t>N 580-П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07.11.2024 </w:t>
            </w:r>
            <w:hyperlink r:id="rId49">
              <w:r w:rsidRPr="00B32026">
                <w:rPr>
                  <w:rFonts w:ascii="PT Astra Serif" w:hAnsi="PT Astra Serif"/>
                  <w:sz w:val="28"/>
                  <w:szCs w:val="28"/>
                </w:rPr>
                <w:t>N 922-П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13.12.2024 </w:t>
            </w:r>
            <w:hyperlink r:id="rId50">
              <w:r w:rsidRPr="00B32026">
                <w:rPr>
                  <w:rFonts w:ascii="PT Astra Serif" w:hAnsi="PT Astra Serif"/>
                  <w:sz w:val="28"/>
                  <w:szCs w:val="28"/>
                </w:rPr>
                <w:t>N 1045-П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51">
              <w:r w:rsidRPr="00B32026">
                <w:rPr>
                  <w:rFonts w:ascii="PT Astra Serif" w:hAnsi="PT Astra Serif"/>
                  <w:sz w:val="28"/>
                  <w:szCs w:val="28"/>
                </w:rPr>
                <w:t>N 1126-П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Саратовской области "Развитие промышленности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в Саратовской области"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1. Оценка текущего состояния сферы промышленности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Саратовской области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Саратовская область является динамично развивающимся индустриальным регионом России.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Доля промышленного производства в структуре валового регионального продукта превышает 29,3 процента, занимая тем самым одну из ключевых позиций в экономике Саратовской области.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Специфика развития промышленного комплекса Саратовской области, включающего более 480 крупных и средних предприятий, </w:t>
      </w:r>
      <w:proofErr w:type="gramStart"/>
      <w:r w:rsidRPr="00B32026">
        <w:rPr>
          <w:rFonts w:ascii="PT Astra Serif" w:hAnsi="PT Astra Serif"/>
          <w:sz w:val="28"/>
          <w:szCs w:val="28"/>
        </w:rPr>
        <w:t>определяется</w:t>
      </w:r>
      <w:proofErr w:type="gramEnd"/>
      <w:r w:rsidRPr="00B32026">
        <w:rPr>
          <w:rFonts w:ascii="PT Astra Serif" w:hAnsi="PT Astra Serif"/>
          <w:sz w:val="28"/>
          <w:szCs w:val="28"/>
        </w:rPr>
        <w:t xml:space="preserve"> прежде всего, обрабатывающими производствами, имеющими низкую долю предприятий, выпускающих конечную продукцию, и многоотраслевую структуру, что в сочетании с высокой долей высокотехнологичных производств даже в кризисных условиях способствует устойчивому развитию промышленности региона.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Доля обрабатывающих производств, составляющих основу промышленности региона, достигает 73 процентов без учета производства пищевых продуктов в общем объеме отгруженных товаров.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Лидерами роста остаются высокотехнологичные отрасли: химическое производство, металлургия, машиностроение, в первую очередь оборонно-промышленный комплекс. В отраслевой структуре обрабатывающих производств на отрасли химической промышленности приходится 37,2 </w:t>
      </w:r>
      <w:r w:rsidRPr="00B32026">
        <w:rPr>
          <w:rFonts w:ascii="PT Astra Serif" w:hAnsi="PT Astra Serif"/>
          <w:sz w:val="28"/>
          <w:szCs w:val="28"/>
        </w:rPr>
        <w:lastRenderedPageBreak/>
        <w:t>процента от объема отгруженных товаров, отрасли машиностроения и оборонно-промышленного комплекса - 35,8 процента и металлургии - 11,4 процента.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В регионе сформирован уникальный оборонно-промышленный комплекс. Среди приоритетных </w:t>
      </w:r>
      <w:proofErr w:type="spellStart"/>
      <w:r w:rsidRPr="00B32026">
        <w:rPr>
          <w:rFonts w:ascii="PT Astra Serif" w:hAnsi="PT Astra Serif"/>
          <w:sz w:val="28"/>
          <w:szCs w:val="28"/>
        </w:rPr>
        <w:t>подотраслей</w:t>
      </w:r>
      <w:proofErr w:type="spellEnd"/>
      <w:r w:rsidRPr="00B32026">
        <w:rPr>
          <w:rFonts w:ascii="PT Astra Serif" w:hAnsi="PT Astra Serif"/>
          <w:sz w:val="28"/>
          <w:szCs w:val="28"/>
        </w:rPr>
        <w:t xml:space="preserve"> оборонно-промышленного комплекса региона - электронная, авиационное приборостроение, а также производство, модернизация и ремонт техники для Военно-Морского Флота и Сухопутных войск.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По производству отдельных видов продукции Саратовская область занимает лидирующие места в экономике Российской Федерации. Так, на долю Саратовской области приходится 15,8 процента производства серной кислоты, 12,5 процента производства минеральных удобрений в пересчете на 100 процентов питательных веществ, 11,3 процента производства диванов, 10,6 процента производства подшипников, 3,3 процента производства моющих средств и </w:t>
      </w:r>
      <w:proofErr w:type="gramStart"/>
      <w:r w:rsidRPr="00B32026">
        <w:rPr>
          <w:rFonts w:ascii="PT Astra Serif" w:hAnsi="PT Astra Serif"/>
          <w:sz w:val="28"/>
          <w:szCs w:val="28"/>
        </w:rPr>
        <w:t>другое</w:t>
      </w:r>
      <w:proofErr w:type="gramEnd"/>
      <w:r w:rsidRPr="00B32026">
        <w:rPr>
          <w:rFonts w:ascii="PT Astra Serif" w:hAnsi="PT Astra Serif"/>
          <w:sz w:val="28"/>
          <w:szCs w:val="28"/>
        </w:rPr>
        <w:t>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В Саратовской области представлен целый ряд промышленных предприятий - единственных производителей продукции в России: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филиал ФГУП "ПО "Маяк" - "Базальт" - уникальный производитель в оборонной тематике;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ООО "</w:t>
      </w:r>
      <w:proofErr w:type="spellStart"/>
      <w:r w:rsidRPr="00B32026">
        <w:rPr>
          <w:rFonts w:ascii="PT Astra Serif" w:hAnsi="PT Astra Serif"/>
          <w:sz w:val="28"/>
          <w:szCs w:val="28"/>
        </w:rPr>
        <w:t>Лапик</w:t>
      </w:r>
      <w:proofErr w:type="spellEnd"/>
      <w:r w:rsidRPr="00B32026">
        <w:rPr>
          <w:rFonts w:ascii="PT Astra Serif" w:hAnsi="PT Astra Serif"/>
          <w:sz w:val="28"/>
          <w:szCs w:val="28"/>
        </w:rPr>
        <w:t>" - единственное в России предприятие в сфере производства координатно-измерительных машин с 6 степенями свободы;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ООО "</w:t>
      </w:r>
      <w:proofErr w:type="spellStart"/>
      <w:r w:rsidRPr="00B32026">
        <w:rPr>
          <w:rFonts w:ascii="PT Astra Serif" w:hAnsi="PT Astra Serif"/>
          <w:sz w:val="28"/>
          <w:szCs w:val="28"/>
        </w:rPr>
        <w:t>Саратоворгсинтез</w:t>
      </w:r>
      <w:proofErr w:type="spellEnd"/>
      <w:r w:rsidRPr="00B32026">
        <w:rPr>
          <w:rFonts w:ascii="PT Astra Serif" w:hAnsi="PT Astra Serif"/>
          <w:sz w:val="28"/>
          <w:szCs w:val="28"/>
        </w:rPr>
        <w:t>" - единственный производитель нитрилакриловой кислоты;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ООО "</w:t>
      </w:r>
      <w:proofErr w:type="spellStart"/>
      <w:r w:rsidRPr="00B32026">
        <w:rPr>
          <w:rFonts w:ascii="PT Astra Serif" w:hAnsi="PT Astra Serif"/>
          <w:sz w:val="28"/>
          <w:szCs w:val="28"/>
        </w:rPr>
        <w:t>ПирроГрупп</w:t>
      </w:r>
      <w:proofErr w:type="spellEnd"/>
      <w:r w:rsidRPr="00B32026">
        <w:rPr>
          <w:rFonts w:ascii="PT Astra Serif" w:hAnsi="PT Astra Serif"/>
          <w:sz w:val="28"/>
          <w:szCs w:val="28"/>
        </w:rPr>
        <w:t xml:space="preserve">" - крупнейший производитель </w:t>
      </w:r>
      <w:proofErr w:type="spellStart"/>
      <w:r w:rsidRPr="00B32026">
        <w:rPr>
          <w:rFonts w:ascii="PT Astra Serif" w:hAnsi="PT Astra Serif"/>
          <w:sz w:val="28"/>
          <w:szCs w:val="28"/>
        </w:rPr>
        <w:t>пенополиизоциануратовых</w:t>
      </w:r>
      <w:proofErr w:type="spellEnd"/>
      <w:r w:rsidRPr="00B3202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32026">
        <w:rPr>
          <w:rFonts w:ascii="PT Astra Serif" w:hAnsi="PT Astra Serif"/>
          <w:sz w:val="28"/>
          <w:szCs w:val="28"/>
        </w:rPr>
        <w:t>сэндвич-панелей</w:t>
      </w:r>
      <w:proofErr w:type="gramEnd"/>
      <w:r w:rsidRPr="00B32026">
        <w:rPr>
          <w:rFonts w:ascii="PT Astra Serif" w:hAnsi="PT Astra Serif"/>
          <w:sz w:val="28"/>
          <w:szCs w:val="28"/>
        </w:rPr>
        <w:t xml:space="preserve"> с мягкой обкладкой;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ООО "</w:t>
      </w:r>
      <w:proofErr w:type="spellStart"/>
      <w:r w:rsidRPr="00B32026">
        <w:rPr>
          <w:rFonts w:ascii="PT Astra Serif" w:hAnsi="PT Astra Serif"/>
          <w:sz w:val="28"/>
          <w:szCs w:val="28"/>
        </w:rPr>
        <w:t>Балтекс</w:t>
      </w:r>
      <w:proofErr w:type="spellEnd"/>
      <w:r w:rsidRPr="00B32026">
        <w:rPr>
          <w:rFonts w:ascii="PT Astra Serif" w:hAnsi="PT Astra Serif"/>
          <w:sz w:val="28"/>
          <w:szCs w:val="28"/>
        </w:rPr>
        <w:t>" - крупнейший производитель полиамидных тканей в России.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Среди признанных промышленных брендов региона некоторые предприятия добились лидерских позиций по объему российского рынка (каждый по своему направлению):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B32026">
        <w:rPr>
          <w:rFonts w:ascii="PT Astra Serif" w:hAnsi="PT Astra Serif"/>
          <w:sz w:val="28"/>
          <w:szCs w:val="28"/>
        </w:rPr>
        <w:t>Балаковский</w:t>
      </w:r>
      <w:proofErr w:type="spellEnd"/>
      <w:r w:rsidRPr="00B32026">
        <w:rPr>
          <w:rFonts w:ascii="PT Astra Serif" w:hAnsi="PT Astra Serif"/>
          <w:sz w:val="28"/>
          <w:szCs w:val="28"/>
        </w:rPr>
        <w:t xml:space="preserve"> филиал АО "Апатит" - один из крупнейших в Европе производителей кормовых фосфатов, крупнейший в России производитель фосфорсодержащих удобрений;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АО "Металлургический завод Балаково" - один из крупнейших производителей сортового металлопроката;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АО "</w:t>
      </w:r>
      <w:proofErr w:type="spellStart"/>
      <w:r w:rsidRPr="00B32026">
        <w:rPr>
          <w:rFonts w:ascii="PT Astra Serif" w:hAnsi="PT Astra Serif"/>
          <w:sz w:val="28"/>
          <w:szCs w:val="28"/>
        </w:rPr>
        <w:t>Балаковорезинотехника</w:t>
      </w:r>
      <w:proofErr w:type="spellEnd"/>
      <w:r w:rsidRPr="00B32026">
        <w:rPr>
          <w:rFonts w:ascii="PT Astra Serif" w:hAnsi="PT Astra Serif"/>
          <w:sz w:val="28"/>
          <w:szCs w:val="28"/>
        </w:rPr>
        <w:t xml:space="preserve">" - один из крупнейших в Европе производителей резинотехнических изделий и крупнейший в России </w:t>
      </w:r>
      <w:r w:rsidRPr="00B32026">
        <w:rPr>
          <w:rFonts w:ascii="PT Astra Serif" w:hAnsi="PT Astra Serif"/>
          <w:sz w:val="28"/>
          <w:szCs w:val="28"/>
        </w:rPr>
        <w:lastRenderedPageBreak/>
        <w:t xml:space="preserve">производитель </w:t>
      </w:r>
      <w:proofErr w:type="spellStart"/>
      <w:r w:rsidRPr="00B32026">
        <w:rPr>
          <w:rFonts w:ascii="PT Astra Serif" w:hAnsi="PT Astra Serif"/>
          <w:sz w:val="28"/>
          <w:szCs w:val="28"/>
        </w:rPr>
        <w:t>автокомпонентов</w:t>
      </w:r>
      <w:proofErr w:type="spellEnd"/>
      <w:r w:rsidRPr="00B32026">
        <w:rPr>
          <w:rFonts w:ascii="PT Astra Serif" w:hAnsi="PT Astra Serif"/>
          <w:sz w:val="28"/>
          <w:szCs w:val="28"/>
        </w:rPr>
        <w:t xml:space="preserve"> для ведущих российских автозаводов;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АО "</w:t>
      </w:r>
      <w:proofErr w:type="spellStart"/>
      <w:r w:rsidRPr="00B32026">
        <w:rPr>
          <w:rFonts w:ascii="PT Astra Serif" w:hAnsi="PT Astra Serif"/>
          <w:sz w:val="28"/>
          <w:szCs w:val="28"/>
        </w:rPr>
        <w:t>Саратовстройстекло</w:t>
      </w:r>
      <w:proofErr w:type="spellEnd"/>
      <w:r w:rsidRPr="00B32026">
        <w:rPr>
          <w:rFonts w:ascii="PT Astra Serif" w:hAnsi="PT Astra Serif"/>
          <w:sz w:val="28"/>
          <w:szCs w:val="28"/>
        </w:rPr>
        <w:t xml:space="preserve">" - один из крупнейших в России производителей </w:t>
      </w:r>
      <w:proofErr w:type="spellStart"/>
      <w:r w:rsidRPr="00B32026">
        <w:rPr>
          <w:rFonts w:ascii="PT Astra Serif" w:hAnsi="PT Astra Serif"/>
          <w:sz w:val="28"/>
          <w:szCs w:val="28"/>
        </w:rPr>
        <w:t>флоат</w:t>
      </w:r>
      <w:proofErr w:type="spellEnd"/>
      <w:r w:rsidRPr="00B32026">
        <w:rPr>
          <w:rFonts w:ascii="PT Astra Serif" w:hAnsi="PT Astra Serif"/>
          <w:sz w:val="28"/>
          <w:szCs w:val="28"/>
        </w:rPr>
        <w:t>-стекла;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АО "</w:t>
      </w:r>
      <w:proofErr w:type="spellStart"/>
      <w:r w:rsidRPr="00B32026">
        <w:rPr>
          <w:rFonts w:ascii="PT Astra Serif" w:hAnsi="PT Astra Serif"/>
          <w:sz w:val="28"/>
          <w:szCs w:val="28"/>
        </w:rPr>
        <w:t>Промэлектроника</w:t>
      </w:r>
      <w:proofErr w:type="spellEnd"/>
      <w:r w:rsidRPr="00B32026">
        <w:rPr>
          <w:rFonts w:ascii="PT Astra Serif" w:hAnsi="PT Astra Serif"/>
          <w:sz w:val="28"/>
          <w:szCs w:val="28"/>
        </w:rPr>
        <w:t>" - крупнейший производитель тугоплавких металлов и сплавов;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ГК "Рубеж" - лидер по выпуску систем безопасности;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ООО "Завод автономных источников тока" - основной производитель щелочных никель-кадмиевых аккумуляторов и батарей для железнодорожного транспорта, полностью соответствующих требованиям российских железных дорог и не имеющих аналогов в России. Предприятие занимает доминирующее положение на российском рынке щелочных аккумуляторных батарей;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ООО "ТОРЭКС" - один из крупнейших производителей металлических дверей в России. Доля ООО "ТОРЭКС" на российском рынке металлических межкомнатных и входных дверей составляет 14 процентов. На территории России размещено около 4500 магазинов (точек продаж), в которых продаются металлические двери бренда "ТОРЭКС";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АО "Трансмаш" - предприятие, занимающее доминирующее положение на рынке путевой техники по </w:t>
      </w:r>
      <w:proofErr w:type="gramStart"/>
      <w:r w:rsidRPr="00B32026">
        <w:rPr>
          <w:rFonts w:ascii="PT Astra Serif" w:hAnsi="PT Astra Serif"/>
          <w:sz w:val="28"/>
          <w:szCs w:val="28"/>
        </w:rPr>
        <w:t>хоппер-дозаторам</w:t>
      </w:r>
      <w:proofErr w:type="gramEnd"/>
      <w:r w:rsidRPr="00B32026">
        <w:rPr>
          <w:rFonts w:ascii="PT Astra Serif" w:hAnsi="PT Astra Serif"/>
          <w:sz w:val="28"/>
          <w:szCs w:val="28"/>
        </w:rPr>
        <w:t xml:space="preserve"> модели ВПМ-770. Доля предприятия на рынке в 2021 году превысила 77,4 процента;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ООО "СТАММ" - крупнейший российский производитель канцелярских товаров;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ООО "НИТА-ФАРМ" - лидер по выпуску ветеринарных препаратов и кормовых добавок;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АО "</w:t>
      </w:r>
      <w:proofErr w:type="spellStart"/>
      <w:r w:rsidRPr="00B32026">
        <w:rPr>
          <w:rFonts w:ascii="PT Astra Serif" w:hAnsi="PT Astra Serif"/>
          <w:sz w:val="28"/>
          <w:szCs w:val="28"/>
        </w:rPr>
        <w:t>Биоамид</w:t>
      </w:r>
      <w:proofErr w:type="spellEnd"/>
      <w:r w:rsidRPr="00B32026">
        <w:rPr>
          <w:rFonts w:ascii="PT Astra Serif" w:hAnsi="PT Astra Serif"/>
          <w:sz w:val="28"/>
          <w:szCs w:val="28"/>
        </w:rPr>
        <w:t>" - лидер российской промышленной биотехнологии.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На протяжении более десяти лет промышленность Саратовской области динамично развивалась, опережая по основным показателям среднероссийские значения.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Стратегическим направлением региональной промышленной политики является дальнейшее увеличение доли обрабатывающих производств в общей структуре промышленного производства.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Государственная программа Саратовской области "Развитие промышленности в Саратовской области" нацелена на создание условий для развития промышленных предприятий обрабатывающих производств, решения задач </w:t>
      </w:r>
      <w:proofErr w:type="spellStart"/>
      <w:r w:rsidRPr="00B32026">
        <w:rPr>
          <w:rFonts w:ascii="PT Astra Serif" w:hAnsi="PT Astra Serif"/>
          <w:sz w:val="28"/>
          <w:szCs w:val="28"/>
        </w:rPr>
        <w:t>импортозамещения</w:t>
      </w:r>
      <w:proofErr w:type="spellEnd"/>
      <w:r w:rsidRPr="00B32026">
        <w:rPr>
          <w:rFonts w:ascii="PT Astra Serif" w:hAnsi="PT Astra Serif"/>
          <w:sz w:val="28"/>
          <w:szCs w:val="28"/>
        </w:rPr>
        <w:t xml:space="preserve"> в сфере промышленности и обеспечения технологического суверенитета промышленности посредством создания и внедрения высокотехнологичных импортозамещающих производств и </w:t>
      </w:r>
      <w:r w:rsidRPr="00B32026">
        <w:rPr>
          <w:rFonts w:ascii="PT Astra Serif" w:hAnsi="PT Astra Serif"/>
          <w:sz w:val="28"/>
          <w:szCs w:val="28"/>
        </w:rPr>
        <w:lastRenderedPageBreak/>
        <w:t>технологий для производства конкурентоспособной продукции.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2. Описание приоритетов и целей государственной политики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области "Развитие промышленности в Саратовской области"</w:t>
      </w:r>
    </w:p>
    <w:p w:rsidR="00B32026" w:rsidRPr="00B32026" w:rsidRDefault="00B32026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B32026">
        <w:rPr>
          <w:rFonts w:ascii="PT Astra Serif" w:hAnsi="PT Astra Serif"/>
          <w:sz w:val="28"/>
          <w:szCs w:val="28"/>
        </w:rPr>
        <w:t xml:space="preserve">(в ред. </w:t>
      </w:r>
      <w:hyperlink r:id="rId52">
        <w:r w:rsidRPr="00B3202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32026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  <w:proofErr w:type="gramEnd"/>
    </w:p>
    <w:p w:rsidR="00B32026" w:rsidRPr="00B32026" w:rsidRDefault="00B3202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от 28.12.2024 N 1126-П)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32026">
        <w:rPr>
          <w:rFonts w:ascii="PT Astra Serif" w:hAnsi="PT Astra Serif"/>
          <w:sz w:val="28"/>
          <w:szCs w:val="28"/>
        </w:rPr>
        <w:t xml:space="preserve">Система целеполагания и задачи государственной программы Саратовской области "Развитие промышленности в Саратовской области" (далее - Программа) сформированы с учетом национальных целей развития, определенных Указами Президента Российской Федерации от 7 мая 2024 года </w:t>
      </w:r>
      <w:hyperlink r:id="rId53">
        <w:r w:rsidRPr="00B32026">
          <w:rPr>
            <w:rFonts w:ascii="PT Astra Serif" w:hAnsi="PT Astra Serif"/>
            <w:sz w:val="28"/>
            <w:szCs w:val="28"/>
          </w:rPr>
          <w:t>N 309</w:t>
        </w:r>
      </w:hyperlink>
      <w:r w:rsidRPr="00B32026">
        <w:rPr>
          <w:rFonts w:ascii="PT Astra Serif" w:hAnsi="PT Astra Serif"/>
          <w:sz w:val="28"/>
          <w:szCs w:val="28"/>
        </w:rPr>
        <w:t xml:space="preserve"> "О национальных целях развития Российской Федерации на период до 2030 года и на перспективу до 2036 года" и от 7 мая 2018 года </w:t>
      </w:r>
      <w:hyperlink r:id="rId54">
        <w:r w:rsidRPr="00B32026">
          <w:rPr>
            <w:rFonts w:ascii="PT Astra Serif" w:hAnsi="PT Astra Serif"/>
            <w:sz w:val="28"/>
            <w:szCs w:val="28"/>
          </w:rPr>
          <w:t>N 204</w:t>
        </w:r>
      </w:hyperlink>
      <w:r w:rsidRPr="00B32026">
        <w:rPr>
          <w:rFonts w:ascii="PT Astra Serif" w:hAnsi="PT Astra Serif"/>
          <w:sz w:val="28"/>
          <w:szCs w:val="28"/>
        </w:rPr>
        <w:t xml:space="preserve"> "О национальных</w:t>
      </w:r>
      <w:proofErr w:type="gramEnd"/>
      <w:r w:rsidRPr="00B3202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32026">
        <w:rPr>
          <w:rFonts w:ascii="PT Astra Serif" w:hAnsi="PT Astra Serif"/>
          <w:sz w:val="28"/>
          <w:szCs w:val="28"/>
        </w:rPr>
        <w:t xml:space="preserve">целях и стратегических задачах развития Российской Федерации на период до 2024 года", а также основных приоритетов государственной </w:t>
      </w:r>
      <w:hyperlink r:id="rId55">
        <w:r w:rsidRPr="00B32026">
          <w:rPr>
            <w:rFonts w:ascii="PT Astra Serif" w:hAnsi="PT Astra Serif"/>
            <w:sz w:val="28"/>
            <w:szCs w:val="28"/>
          </w:rPr>
          <w:t>программы</w:t>
        </w:r>
      </w:hyperlink>
      <w:r w:rsidRPr="00B32026">
        <w:rPr>
          <w:rFonts w:ascii="PT Astra Serif" w:hAnsi="PT Astra Serif"/>
          <w:sz w:val="28"/>
          <w:szCs w:val="28"/>
        </w:rPr>
        <w:t xml:space="preserve"> Российской Федерации "Развитие промышленности и повышение ее конкурентоспособности", утвержденной постановлением Правительства Российской Федерации от 15 апреля 2014 года N 328, и Сводной </w:t>
      </w:r>
      <w:hyperlink r:id="rId56">
        <w:r w:rsidRPr="00B32026">
          <w:rPr>
            <w:rFonts w:ascii="PT Astra Serif" w:hAnsi="PT Astra Serif"/>
            <w:sz w:val="28"/>
            <w:szCs w:val="28"/>
          </w:rPr>
          <w:t>стратегии</w:t>
        </w:r>
      </w:hyperlink>
      <w:r w:rsidRPr="00B32026">
        <w:rPr>
          <w:rFonts w:ascii="PT Astra Serif" w:hAnsi="PT Astra Serif"/>
          <w:sz w:val="28"/>
          <w:szCs w:val="28"/>
        </w:rPr>
        <w:t xml:space="preserve"> развития обрабатывающей промышленности Российской Федерации до 2024 года и на период до 2035 года, утвержденной распоряжением Правительства Российской Федерации</w:t>
      </w:r>
      <w:proofErr w:type="gramEnd"/>
      <w:r w:rsidRPr="00B32026">
        <w:rPr>
          <w:rFonts w:ascii="PT Astra Serif" w:hAnsi="PT Astra Serif"/>
          <w:sz w:val="28"/>
          <w:szCs w:val="28"/>
        </w:rPr>
        <w:t xml:space="preserve"> от 6 июня 2020 года N 1512-р.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Реализация Программы будет направлена на достижение национальных целей развития Российской Федерации на период до 2030 года и на перспективу до 2036 года - "Технологическое лидерство" и "Устойчивая и динамичная экономика".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32026">
        <w:rPr>
          <w:rFonts w:ascii="PT Astra Serif" w:hAnsi="PT Astra Serif"/>
          <w:sz w:val="28"/>
          <w:szCs w:val="28"/>
        </w:rPr>
        <w:t xml:space="preserve">Кроме того, при формировании цели и показателей Программы учитывались положения документов стратегического планирования, в том числе </w:t>
      </w:r>
      <w:hyperlink r:id="rId57">
        <w:r w:rsidRPr="00B32026">
          <w:rPr>
            <w:rFonts w:ascii="PT Astra Serif" w:hAnsi="PT Astra Serif"/>
            <w:sz w:val="28"/>
            <w:szCs w:val="28"/>
          </w:rPr>
          <w:t>Стратегии</w:t>
        </w:r>
      </w:hyperlink>
      <w:r w:rsidRPr="00B32026">
        <w:rPr>
          <w:rFonts w:ascii="PT Astra Serif" w:hAnsi="PT Astra Serif"/>
          <w:sz w:val="28"/>
          <w:szCs w:val="28"/>
        </w:rPr>
        <w:t xml:space="preserve"> социально-экономического развития Саратовской области до 2030 года, утвержденной постановлением Правительства Саратовской области от 30 июня 2016 года N 321-П, и </w:t>
      </w:r>
      <w:hyperlink r:id="rId58">
        <w:r w:rsidRPr="00B32026">
          <w:rPr>
            <w:rFonts w:ascii="PT Astra Serif" w:hAnsi="PT Astra Serif"/>
            <w:sz w:val="28"/>
            <w:szCs w:val="28"/>
          </w:rPr>
          <w:t>Плана</w:t>
        </w:r>
      </w:hyperlink>
      <w:r w:rsidRPr="00B32026">
        <w:rPr>
          <w:rFonts w:ascii="PT Astra Serif" w:hAnsi="PT Astra Serif"/>
          <w:sz w:val="28"/>
          <w:szCs w:val="28"/>
        </w:rPr>
        <w:t xml:space="preserve"> мероприятий по реализации Стратегии социально-экономического развития Саратовской области до 2030 года, утвержденного распоряжением Правительства Саратовской области от 29 декабря 2016 года N</w:t>
      </w:r>
      <w:proofErr w:type="gramEnd"/>
      <w:r w:rsidRPr="00B32026">
        <w:rPr>
          <w:rFonts w:ascii="PT Astra Serif" w:hAnsi="PT Astra Serif"/>
          <w:sz w:val="28"/>
          <w:szCs w:val="28"/>
        </w:rPr>
        <w:t xml:space="preserve"> 359-Пр.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Определена цель Программы.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Цель: развитие промышленного потенциала и расширение промышленного производства современной, высокотехнологичной промышленной продукции.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В рамках обеспечения достижения поставленной цели </w:t>
      </w:r>
      <w:r w:rsidRPr="00B32026">
        <w:rPr>
          <w:rFonts w:ascii="PT Astra Serif" w:hAnsi="PT Astra Serif"/>
          <w:sz w:val="28"/>
          <w:szCs w:val="28"/>
        </w:rPr>
        <w:lastRenderedPageBreak/>
        <w:t>предусматривается решение основных задач: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обеспечение реализации отдельных государственных функций и полномочий министерства промышленности и энергетики области;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обеспечение развития научно-технического и инновационного потенциала в сфере промышленности региона;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предоставление финансовой поддержки субъектам деятельности в сфере промышленности в Саратовской области;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поддержка инвестиционных проектов, направленных на развитие производства промышленных предприятий региона, с привлечением </w:t>
      </w:r>
      <w:proofErr w:type="spellStart"/>
      <w:r w:rsidRPr="00B32026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B32026">
        <w:rPr>
          <w:rFonts w:ascii="PT Astra Serif" w:hAnsi="PT Astra Serif"/>
          <w:sz w:val="28"/>
          <w:szCs w:val="28"/>
        </w:rPr>
        <w:t xml:space="preserve"> из федерального бюджета.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Для достижения указанной цели и задач Программы включены следующие направления (подпрограммы) реализации:</w:t>
      </w:r>
    </w:p>
    <w:p w:rsidR="00B32026" w:rsidRPr="00B32026" w:rsidRDefault="00B3202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подпрограмма "Развитие и государственная поддержка промышленных предприятий области.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Паспорт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"Развитие промышленности в Саратовской области"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Утратил силу с 28 декабря 2024 года. - </w:t>
      </w:r>
      <w:hyperlink r:id="rId59">
        <w:r w:rsidRPr="00B3202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32026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1126-П.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2" w:name="P113"/>
      <w:bookmarkEnd w:id="2"/>
      <w:r w:rsidRPr="00B32026">
        <w:rPr>
          <w:rFonts w:ascii="PT Astra Serif" w:hAnsi="PT Astra Serif"/>
          <w:sz w:val="28"/>
          <w:szCs w:val="28"/>
        </w:rPr>
        <w:t>Подпрограмма "Развитие и государственная поддержка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промышленных предприятий области"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60">
        <w:r w:rsidRPr="00B3202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32026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1126-П.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hyperlink r:id="rId61">
        <w:r w:rsidRPr="00B32026">
          <w:rPr>
            <w:rFonts w:ascii="PT Astra Serif" w:hAnsi="PT Astra Serif"/>
            <w:sz w:val="28"/>
            <w:szCs w:val="28"/>
          </w:rPr>
          <w:t>Приложение N 1</w:t>
        </w:r>
      </w:hyperlink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Саратовской области</w:t>
      </w: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"Развитие промышленности в Саратовской области"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ОЦЕНКА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ПРИМЕНЕНИЯ МЕР ГОСУДАРСТВЕННОГО РЕГУЛИРОВАНИЯ В СФЕРЕ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 xml:space="preserve">РЕАЛИЗАЦИИ ГОСУДАРСТВЕННОЙ ПРОГРАММЫ </w:t>
      </w:r>
      <w:r w:rsidRPr="00B32026">
        <w:rPr>
          <w:rFonts w:ascii="PT Astra Serif" w:hAnsi="PT Astra Serif"/>
          <w:sz w:val="28"/>
          <w:szCs w:val="28"/>
        </w:rPr>
        <w:lastRenderedPageBreak/>
        <w:t>САРАТОВСКОЙ ОБЛАСТИ</w:t>
      </w: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"РАЗВИТИЕ ПРОМЫШЛЕННОСТИ В САРАТОВСКОЙ ОБЛАСТИ"</w:t>
      </w:r>
    </w:p>
    <w:p w:rsidR="00B32026" w:rsidRPr="00B32026" w:rsidRDefault="00B3202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32026" w:rsidRPr="00B320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02.11.2023 </w:t>
            </w:r>
            <w:hyperlink r:id="rId62">
              <w:r w:rsidRPr="00B32026">
                <w:rPr>
                  <w:rFonts w:ascii="PT Astra Serif" w:hAnsi="PT Astra Serif"/>
                  <w:sz w:val="28"/>
                  <w:szCs w:val="28"/>
                </w:rPr>
                <w:t>N 1010-П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26.12.2023 </w:t>
            </w:r>
            <w:hyperlink r:id="rId63">
              <w:r w:rsidRPr="00B32026">
                <w:rPr>
                  <w:rFonts w:ascii="PT Astra Serif" w:hAnsi="PT Astra Serif"/>
                  <w:sz w:val="28"/>
                  <w:szCs w:val="28"/>
                </w:rPr>
                <w:t>N 1236-П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, от 13.12.2024 </w:t>
            </w:r>
            <w:hyperlink r:id="rId64">
              <w:r w:rsidRPr="00B32026">
                <w:rPr>
                  <w:rFonts w:ascii="PT Astra Serif" w:hAnsi="PT Astra Serif"/>
                  <w:sz w:val="28"/>
                  <w:szCs w:val="28"/>
                </w:rPr>
                <w:t>N 1045-П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65">
              <w:r w:rsidRPr="00B32026">
                <w:rPr>
                  <w:rFonts w:ascii="PT Astra Serif" w:hAnsi="PT Astra Serif"/>
                  <w:sz w:val="28"/>
                  <w:szCs w:val="28"/>
                </w:rPr>
                <w:t>N 1126-П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rPr>
          <w:rFonts w:ascii="PT Astra Serif" w:hAnsi="PT Astra Serif"/>
          <w:sz w:val="28"/>
          <w:szCs w:val="28"/>
        </w:rPr>
        <w:sectPr w:rsidR="00B32026" w:rsidRPr="00B32026" w:rsidSect="00461D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"/>
        <w:gridCol w:w="2487"/>
        <w:gridCol w:w="1700"/>
        <w:gridCol w:w="751"/>
        <w:gridCol w:w="752"/>
        <w:gridCol w:w="752"/>
        <w:gridCol w:w="752"/>
        <w:gridCol w:w="752"/>
        <w:gridCol w:w="835"/>
        <w:gridCol w:w="835"/>
        <w:gridCol w:w="964"/>
        <w:gridCol w:w="964"/>
        <w:gridCol w:w="964"/>
        <w:gridCol w:w="964"/>
        <w:gridCol w:w="2194"/>
      </w:tblGrid>
      <w:tr w:rsidR="00B32026" w:rsidRPr="00B32026">
        <w:tc>
          <w:tcPr>
            <w:tcW w:w="482" w:type="dxa"/>
            <w:vMerge w:val="restart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B32026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835" w:type="dxa"/>
            <w:vMerge w:val="restart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Краткое обоснование меры государственного регулирования</w:t>
            </w:r>
          </w:p>
        </w:tc>
        <w:tc>
          <w:tcPr>
            <w:tcW w:w="1587" w:type="dxa"/>
            <w:vMerge w:val="restart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Показатель применения меры</w:t>
            </w:r>
          </w:p>
        </w:tc>
        <w:tc>
          <w:tcPr>
            <w:tcW w:w="9350" w:type="dxa"/>
            <w:gridSpan w:val="11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Финансовая оценка мер государственного регулирования (тыс. рублей)</w:t>
            </w:r>
          </w:p>
        </w:tc>
        <w:tc>
          <w:tcPr>
            <w:tcW w:w="2268" w:type="dxa"/>
            <w:vMerge w:val="restart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Связь с целевыми показателями государственной программы, подпрограммы</w:t>
            </w:r>
          </w:p>
        </w:tc>
      </w:tr>
      <w:tr w:rsidR="00B32026" w:rsidRPr="00B32026">
        <w:tc>
          <w:tcPr>
            <w:tcW w:w="0" w:type="auto"/>
            <w:vMerge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2020 год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2021 год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2022 год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2027 год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2028 год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2029 год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2030 год</w:t>
            </w:r>
          </w:p>
        </w:tc>
        <w:tc>
          <w:tcPr>
            <w:tcW w:w="0" w:type="auto"/>
            <w:vMerge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32026" w:rsidRPr="00B32026">
        <w:tc>
          <w:tcPr>
            <w:tcW w:w="16522" w:type="dxa"/>
            <w:gridSpan w:val="15"/>
            <w:vAlign w:val="center"/>
          </w:tcPr>
          <w:p w:rsidR="00B32026" w:rsidRPr="00B32026" w:rsidRDefault="00B32026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hyperlink w:anchor="P113">
              <w:r w:rsidRPr="00B32026">
                <w:rPr>
                  <w:rFonts w:ascii="PT Astra Serif" w:hAnsi="PT Astra Serif"/>
                  <w:sz w:val="28"/>
                  <w:szCs w:val="28"/>
                </w:rPr>
                <w:t>Подпрограмма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 "Развитие и государственная поддержка промышленных предприятий области"</w:t>
            </w:r>
          </w:p>
        </w:tc>
      </w:tr>
      <w:tr w:rsidR="00B32026" w:rsidRPr="00B32026">
        <w:tc>
          <w:tcPr>
            <w:tcW w:w="16522" w:type="dxa"/>
            <w:gridSpan w:val="15"/>
            <w:vAlign w:val="center"/>
          </w:tcPr>
          <w:p w:rsidR="00B32026" w:rsidRPr="00B32026" w:rsidRDefault="00B32026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Мероприятие (результат) "Осуществление оценки налоговых расходов, куратором по которым является министерство промышленности и энергетики области"</w:t>
            </w:r>
          </w:p>
        </w:tc>
      </w:tr>
      <w:tr w:rsidR="00B32026" w:rsidRPr="00B32026">
        <w:tc>
          <w:tcPr>
            <w:tcW w:w="16522" w:type="dxa"/>
            <w:gridSpan w:val="15"/>
          </w:tcPr>
          <w:p w:rsidR="00B32026" w:rsidRPr="00B32026" w:rsidRDefault="00B32026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Ставка налога на прибыль организаций, подлежащего зачислению в бюджет субъекта Российской Федерации, в размере 5 процентов организациям - инвесторам, являющимся стороной специального инвестиционного контракта, заключенного Российской Федерацией с участием Саратовской области</w:t>
            </w:r>
          </w:p>
        </w:tc>
      </w:tr>
      <w:tr w:rsidR="00B32026" w:rsidRPr="00B32026">
        <w:tc>
          <w:tcPr>
            <w:tcW w:w="482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66">
              <w:r w:rsidRPr="00B32026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ставках налога на прибыль организаций в отношении инвесторов, осуществляющих инвестиционную деятельность на территории Саратовской области"</w:t>
            </w:r>
          </w:p>
        </w:tc>
        <w:tc>
          <w:tcPr>
            <w:tcW w:w="1587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43500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54150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146500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224000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244500</w:t>
            </w:r>
          </w:p>
        </w:tc>
        <w:tc>
          <w:tcPr>
            <w:tcW w:w="850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265000</w:t>
            </w:r>
          </w:p>
        </w:tc>
        <w:tc>
          <w:tcPr>
            <w:tcW w:w="2268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"Управление развитием промышленного комплекса региона", пункт 1.2</w:t>
            </w:r>
          </w:p>
        </w:tc>
      </w:tr>
      <w:tr w:rsidR="00B32026" w:rsidRPr="00B32026">
        <w:tblPrEx>
          <w:tblBorders>
            <w:insideH w:val="nil"/>
          </w:tblBorders>
        </w:tblPrEx>
        <w:tc>
          <w:tcPr>
            <w:tcW w:w="16522" w:type="dxa"/>
            <w:gridSpan w:val="15"/>
            <w:tcBorders>
              <w:bottom w:val="nil"/>
            </w:tcBorders>
            <w:vAlign w:val="center"/>
          </w:tcPr>
          <w:p w:rsidR="00B32026" w:rsidRPr="00B32026" w:rsidRDefault="00B32026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 xml:space="preserve">Ставка налога (4,5 процента от суммы налога на имущество организаций, исчисленного в соответствии с </w:t>
            </w:r>
            <w:hyperlink r:id="rId67">
              <w:r w:rsidRPr="00B32026">
                <w:rPr>
                  <w:rFonts w:ascii="PT Astra Serif" w:hAnsi="PT Astra Serif"/>
                  <w:sz w:val="28"/>
                  <w:szCs w:val="28"/>
                </w:rPr>
                <w:t>пунктом 1 статьи 2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 Закона </w:t>
            </w:r>
            <w:r w:rsidRPr="00B32026">
              <w:rPr>
                <w:rFonts w:ascii="PT Astra Serif" w:hAnsi="PT Astra Serif"/>
                <w:sz w:val="28"/>
                <w:szCs w:val="28"/>
              </w:rPr>
              <w:lastRenderedPageBreak/>
              <w:t>Саратовской области "О введении на территории Саратовской области налога на имущество организаций") в отношении имущества, созданного (приобретенного) и не входившего в состав налогооблагаемого имущества на территории области до начала реализации инвестиционного проекта в рамках специального инвестиционного контракта</w:t>
            </w:r>
            <w:proofErr w:type="gramEnd"/>
          </w:p>
        </w:tc>
      </w:tr>
      <w:tr w:rsidR="00B32026" w:rsidRPr="00B32026">
        <w:tblPrEx>
          <w:tblBorders>
            <w:insideH w:val="nil"/>
          </w:tblBorders>
        </w:tblPrEx>
        <w:tc>
          <w:tcPr>
            <w:tcW w:w="16522" w:type="dxa"/>
            <w:gridSpan w:val="15"/>
            <w:tcBorders>
              <w:top w:val="nil"/>
            </w:tcBorders>
          </w:tcPr>
          <w:p w:rsidR="00B32026" w:rsidRPr="00B32026" w:rsidRDefault="00B3202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68">
              <w:r w:rsidRPr="00B3202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26.12.2023 N 1236-П)</w:t>
            </w:r>
          </w:p>
        </w:tc>
      </w:tr>
      <w:tr w:rsidR="00B32026" w:rsidRPr="00B32026">
        <w:tblPrEx>
          <w:tblBorders>
            <w:insideH w:val="nil"/>
          </w:tblBorders>
        </w:tblPrEx>
        <w:tc>
          <w:tcPr>
            <w:tcW w:w="482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2835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hyperlink r:id="rId69">
              <w:r w:rsidRPr="00B32026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налога на имущество организаций"</w:t>
            </w:r>
          </w:p>
        </w:tc>
        <w:tc>
          <w:tcPr>
            <w:tcW w:w="1587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объем выпадающих доходов областного бюджета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1400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1400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1400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1400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1400</w:t>
            </w:r>
          </w:p>
        </w:tc>
        <w:tc>
          <w:tcPr>
            <w:tcW w:w="850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1400</w:t>
            </w:r>
          </w:p>
        </w:tc>
        <w:tc>
          <w:tcPr>
            <w:tcW w:w="2268" w:type="dxa"/>
            <w:tcBorders>
              <w:bottom w:val="nil"/>
            </w:tcBorders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"Управление развитием промышленного комплекса региона", пункт 1.2</w:t>
            </w:r>
          </w:p>
        </w:tc>
      </w:tr>
      <w:tr w:rsidR="00B32026" w:rsidRPr="00B32026">
        <w:tblPrEx>
          <w:tblBorders>
            <w:insideH w:val="nil"/>
          </w:tblBorders>
        </w:tblPrEx>
        <w:tc>
          <w:tcPr>
            <w:tcW w:w="16522" w:type="dxa"/>
            <w:gridSpan w:val="15"/>
            <w:tcBorders>
              <w:top w:val="nil"/>
            </w:tcBorders>
          </w:tcPr>
          <w:p w:rsidR="00B32026" w:rsidRPr="00B32026" w:rsidRDefault="00B32026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70">
              <w:r w:rsidRPr="00B3202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13.12.2024 N 1045-П)</w:t>
            </w:r>
          </w:p>
        </w:tc>
      </w:tr>
    </w:tbl>
    <w:p w:rsidR="00B32026" w:rsidRPr="00B32026" w:rsidRDefault="00B32026">
      <w:pPr>
        <w:pStyle w:val="ConsPlusNormal"/>
        <w:rPr>
          <w:rFonts w:ascii="PT Astra Serif" w:hAnsi="PT Astra Serif"/>
          <w:sz w:val="28"/>
          <w:szCs w:val="28"/>
        </w:rPr>
        <w:sectPr w:rsidR="00B32026" w:rsidRPr="00B32026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Приложение N 2</w:t>
      </w: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Саратовской области</w:t>
      </w:r>
    </w:p>
    <w:p w:rsidR="00B32026" w:rsidRPr="00B32026" w:rsidRDefault="00B3202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"Развитие промышленности в Саратовской области"</w:t>
      </w: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32026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B32026" w:rsidRPr="00B32026" w:rsidRDefault="00B3202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B32026" w:rsidRPr="00B320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 xml:space="preserve">(введена </w:t>
            </w:r>
            <w:hyperlink r:id="rId71">
              <w:r w:rsidRPr="00B32026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B3202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от 28.12.2024 N 1126-П)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324"/>
        <w:gridCol w:w="1814"/>
        <w:gridCol w:w="1020"/>
        <w:gridCol w:w="3118"/>
      </w:tblGrid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B32026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32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2834" w:type="dxa"/>
            <w:gridSpan w:val="2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118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32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834" w:type="dxa"/>
            <w:gridSpan w:val="2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276" w:type="dxa"/>
            <w:gridSpan w:val="4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Подпрограмма "Развитие и государственная поддержка промышленных предприятий области"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8276" w:type="dxa"/>
            <w:gridSpan w:val="4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"Управление развитием промышленного комплекса региона"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138" w:type="dxa"/>
            <w:gridSpan w:val="2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B32026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промышленности и энергетики области</w:t>
            </w:r>
          </w:p>
        </w:tc>
        <w:tc>
          <w:tcPr>
            <w:tcW w:w="4138" w:type="dxa"/>
            <w:gridSpan w:val="2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2324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Обеспечение реализации отдельных государственных функций и полномочий министерства промышленности и энергетики области</w:t>
            </w:r>
          </w:p>
        </w:tc>
        <w:tc>
          <w:tcPr>
            <w:tcW w:w="2834" w:type="dxa"/>
            <w:gridSpan w:val="2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обеспечено функционирование информационно-технологической инфраструктуры и технической защиты информации министерства промышленности и энергетики области;</w:t>
            </w:r>
          </w:p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осуществлена оценка </w:t>
            </w:r>
            <w:r w:rsidRPr="00B32026">
              <w:rPr>
                <w:rFonts w:ascii="PT Astra Serif" w:hAnsi="PT Astra Serif"/>
                <w:sz w:val="28"/>
                <w:szCs w:val="28"/>
              </w:rPr>
              <w:lastRenderedPageBreak/>
              <w:t>налоговых расходов, куратором по которым является министерство промышленности и энергетики области;</w:t>
            </w:r>
          </w:p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возмещены недополученные доходы в связи с реализацией населению твердого топлива;</w:t>
            </w:r>
          </w:p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предоставлена единовременная денежная выплата молодым специалистам в сфере промышленного комплекса</w:t>
            </w:r>
          </w:p>
        </w:tc>
        <w:tc>
          <w:tcPr>
            <w:tcW w:w="3118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lastRenderedPageBreak/>
              <w:t>объем отгруженных товаров собственного производства, выполненных работ и услуг собственными силами по виду экономической деятельности "обрабатывающие производства"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8276" w:type="dxa"/>
            <w:gridSpan w:val="4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научно-технического и инновационного потенциала в сфере промышленности региона"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138" w:type="dxa"/>
            <w:gridSpan w:val="2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B32026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промышленности и энергетики области</w:t>
            </w:r>
          </w:p>
        </w:tc>
        <w:tc>
          <w:tcPr>
            <w:tcW w:w="4138" w:type="dxa"/>
            <w:gridSpan w:val="2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1.2.1.</w:t>
            </w:r>
          </w:p>
        </w:tc>
        <w:tc>
          <w:tcPr>
            <w:tcW w:w="2324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Обеспечение развития научно-технического и инновационного потенциала в сфере промышленности региона</w:t>
            </w:r>
          </w:p>
        </w:tc>
        <w:tc>
          <w:tcPr>
            <w:tcW w:w="2834" w:type="dxa"/>
            <w:gridSpan w:val="2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обеспечена организация и проведение Саратовского салона изобретений, инноваций и инвестиций</w:t>
            </w:r>
          </w:p>
        </w:tc>
        <w:tc>
          <w:tcPr>
            <w:tcW w:w="3118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объем отгруженных товаров собственного производства, выполненных работ и услуг собственными силами по виду экономической деятельности "обрабатывающие производства";</w:t>
            </w:r>
          </w:p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производительность труда по виду экономической деятельности "обрабатывающие производства"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8276" w:type="dxa"/>
            <w:gridSpan w:val="4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"Создание и развитие организаций, осуществляющих финансовую поддержку промышленных предприятий, реализующих инвестиционные проекты"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138" w:type="dxa"/>
            <w:gridSpan w:val="2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B32026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экономического развития области</w:t>
            </w:r>
          </w:p>
        </w:tc>
        <w:tc>
          <w:tcPr>
            <w:tcW w:w="4138" w:type="dxa"/>
            <w:gridSpan w:val="2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1.3.1.</w:t>
            </w:r>
          </w:p>
        </w:tc>
        <w:tc>
          <w:tcPr>
            <w:tcW w:w="2324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Предоставление финансовой поддержки субъектам деятельности в сфере промышленности в Саратовской области</w:t>
            </w:r>
          </w:p>
        </w:tc>
        <w:tc>
          <w:tcPr>
            <w:tcW w:w="2834" w:type="dxa"/>
            <w:gridSpan w:val="2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осуществлено финансовое обеспечение затрат на обеспечение деятельности некоммерческой организации "Фонд развития промышленности Саратовской области"</w:t>
            </w:r>
          </w:p>
        </w:tc>
        <w:tc>
          <w:tcPr>
            <w:tcW w:w="3118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объем отгруженных товаров собственного производства, выполненных работ и услуг собственными силами по виду экономической деятельности "обрабатывающие производства";</w:t>
            </w:r>
          </w:p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производительность труда по виду экономической деятельности "обрабатывающие производства"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1.4.</w:t>
            </w:r>
          </w:p>
        </w:tc>
        <w:tc>
          <w:tcPr>
            <w:tcW w:w="8276" w:type="dxa"/>
            <w:gridSpan w:val="4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Региональный проект "Поддержка проектов развития промышленности региона"</w:t>
            </w:r>
          </w:p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(Торгашин Михаил Николаевич - куратор)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138" w:type="dxa"/>
            <w:gridSpan w:val="2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32026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B32026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промышленности и энергетики области</w:t>
            </w:r>
          </w:p>
        </w:tc>
        <w:tc>
          <w:tcPr>
            <w:tcW w:w="4138" w:type="dxa"/>
            <w:gridSpan w:val="2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2024 - 2030 годы</w:t>
            </w:r>
          </w:p>
        </w:tc>
      </w:tr>
      <w:tr w:rsidR="00B32026" w:rsidRPr="00B32026">
        <w:tc>
          <w:tcPr>
            <w:tcW w:w="794" w:type="dxa"/>
          </w:tcPr>
          <w:p w:rsidR="00B32026" w:rsidRPr="00B32026" w:rsidRDefault="00B3202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1.4.1.</w:t>
            </w:r>
          </w:p>
        </w:tc>
        <w:tc>
          <w:tcPr>
            <w:tcW w:w="2324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 xml:space="preserve">Поддержка инвестиционных проектов, направленных на развитие производства промышленных предприятий региона, с привлечением </w:t>
            </w:r>
            <w:proofErr w:type="spellStart"/>
            <w:r w:rsidRPr="00B32026">
              <w:rPr>
                <w:rFonts w:ascii="PT Astra Serif" w:hAnsi="PT Astra Serif"/>
                <w:sz w:val="28"/>
                <w:szCs w:val="28"/>
              </w:rPr>
              <w:t>софинансирования</w:t>
            </w:r>
            <w:proofErr w:type="spellEnd"/>
            <w:r w:rsidRPr="00B32026">
              <w:rPr>
                <w:rFonts w:ascii="PT Astra Serif" w:hAnsi="PT Astra Serif"/>
                <w:sz w:val="28"/>
                <w:szCs w:val="28"/>
              </w:rPr>
              <w:t xml:space="preserve"> из федерального </w:t>
            </w:r>
            <w:r w:rsidRPr="00B32026">
              <w:rPr>
                <w:rFonts w:ascii="PT Astra Serif" w:hAnsi="PT Astra Serif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2834" w:type="dxa"/>
            <w:gridSpan w:val="2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B32026">
              <w:rPr>
                <w:rFonts w:ascii="PT Astra Serif" w:hAnsi="PT Astra Serif"/>
                <w:sz w:val="28"/>
                <w:szCs w:val="28"/>
              </w:rPr>
              <w:lastRenderedPageBreak/>
              <w:t>докапитализация</w:t>
            </w:r>
            <w:proofErr w:type="spellEnd"/>
            <w:r w:rsidRPr="00B32026">
              <w:rPr>
                <w:rFonts w:ascii="PT Astra Serif" w:hAnsi="PT Astra Serif"/>
                <w:sz w:val="28"/>
                <w:szCs w:val="28"/>
              </w:rPr>
              <w:t xml:space="preserve"> регионального фонда развития промышленности Саратовской области;</w:t>
            </w:r>
          </w:p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3118" w:type="dxa"/>
          </w:tcPr>
          <w:p w:rsidR="00B32026" w:rsidRPr="00B32026" w:rsidRDefault="00B3202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32026">
              <w:rPr>
                <w:rFonts w:ascii="PT Astra Serif" w:hAnsi="PT Astra Serif"/>
                <w:sz w:val="28"/>
                <w:szCs w:val="28"/>
              </w:rPr>
              <w:t>объем отгруженных товаров собственного производства, выполненных работ и услуг собственными силами по виду экономической деятельности "обрабатывающие производства"</w:t>
            </w:r>
          </w:p>
        </w:tc>
      </w:tr>
    </w:tbl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32026" w:rsidRPr="00B32026" w:rsidRDefault="00B32026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B32026" w:rsidRDefault="00B32026">
      <w:pPr>
        <w:rPr>
          <w:rFonts w:ascii="PT Astra Serif" w:hAnsi="PT Astra Serif"/>
          <w:sz w:val="28"/>
          <w:szCs w:val="28"/>
        </w:rPr>
      </w:pPr>
    </w:p>
    <w:sectPr w:rsidR="005A1A7E" w:rsidRPr="00B32026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26"/>
    <w:rsid w:val="000C2229"/>
    <w:rsid w:val="00172250"/>
    <w:rsid w:val="00887F15"/>
    <w:rsid w:val="00A70053"/>
    <w:rsid w:val="00B32026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320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320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320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320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320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320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26102&amp;dst=100005" TargetMode="External"/><Relationship Id="rId18" Type="http://schemas.openxmlformats.org/officeDocument/2006/relationships/hyperlink" Target="https://login.consultant.ru/link/?req=doc&amp;base=RLAW358&amp;n=144251&amp;dst=100005" TargetMode="External"/><Relationship Id="rId26" Type="http://schemas.openxmlformats.org/officeDocument/2006/relationships/hyperlink" Target="https://login.consultant.ru/link/?req=doc&amp;base=RLAW358&amp;n=164371&amp;dst=100005" TargetMode="External"/><Relationship Id="rId39" Type="http://schemas.openxmlformats.org/officeDocument/2006/relationships/hyperlink" Target="https://login.consultant.ru/link/?req=doc&amp;base=RLAW358&amp;n=110245&amp;dst=100007" TargetMode="External"/><Relationship Id="rId21" Type="http://schemas.openxmlformats.org/officeDocument/2006/relationships/hyperlink" Target="https://login.consultant.ru/link/?req=doc&amp;base=RLAW358&amp;n=146818&amp;dst=100005" TargetMode="External"/><Relationship Id="rId34" Type="http://schemas.openxmlformats.org/officeDocument/2006/relationships/hyperlink" Target="https://login.consultant.ru/link/?req=doc&amp;base=RLAW358&amp;n=179968&amp;dst=100005" TargetMode="External"/><Relationship Id="rId42" Type="http://schemas.openxmlformats.org/officeDocument/2006/relationships/hyperlink" Target="https://login.consultant.ru/link/?req=doc&amp;base=RLAW358&amp;n=168303&amp;dst=100005" TargetMode="External"/><Relationship Id="rId47" Type="http://schemas.openxmlformats.org/officeDocument/2006/relationships/hyperlink" Target="https://login.consultant.ru/link/?req=doc&amp;base=RLAW358&amp;n=173207&amp;dst=100005" TargetMode="External"/><Relationship Id="rId50" Type="http://schemas.openxmlformats.org/officeDocument/2006/relationships/hyperlink" Target="https://login.consultant.ru/link/?req=doc&amp;base=RLAW358&amp;n=181107&amp;dst=100005" TargetMode="External"/><Relationship Id="rId55" Type="http://schemas.openxmlformats.org/officeDocument/2006/relationships/hyperlink" Target="https://login.consultant.ru/link/?req=doc&amp;base=LAW&amp;n=493974&amp;dst=18892" TargetMode="External"/><Relationship Id="rId63" Type="http://schemas.openxmlformats.org/officeDocument/2006/relationships/hyperlink" Target="https://login.consultant.ru/link/?req=doc&amp;base=RLAW358&amp;n=169950&amp;dst=100667" TargetMode="External"/><Relationship Id="rId68" Type="http://schemas.openxmlformats.org/officeDocument/2006/relationships/hyperlink" Target="https://login.consultant.ru/link/?req=doc&amp;base=RLAW358&amp;n=169950&amp;dst=100669" TargetMode="External"/><Relationship Id="rId7" Type="http://schemas.openxmlformats.org/officeDocument/2006/relationships/hyperlink" Target="https://login.consultant.ru/link/?req=doc&amp;base=RLAW358&amp;n=108786&amp;dst=100005" TargetMode="External"/><Relationship Id="rId71" Type="http://schemas.openxmlformats.org/officeDocument/2006/relationships/hyperlink" Target="https://login.consultant.ru/link/?req=doc&amp;base=RLAW358&amp;n=181718&amp;dst=10002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38912&amp;dst=100005" TargetMode="External"/><Relationship Id="rId29" Type="http://schemas.openxmlformats.org/officeDocument/2006/relationships/hyperlink" Target="https://login.consultant.ru/link/?req=doc&amp;base=RLAW358&amp;n=169950&amp;dst=100005" TargetMode="External"/><Relationship Id="rId11" Type="http://schemas.openxmlformats.org/officeDocument/2006/relationships/hyperlink" Target="https://login.consultant.ru/link/?req=doc&amp;base=RLAW358&amp;n=123544&amp;dst=100005" TargetMode="External"/><Relationship Id="rId24" Type="http://schemas.openxmlformats.org/officeDocument/2006/relationships/hyperlink" Target="https://login.consultant.ru/link/?req=doc&amp;base=RLAW358&amp;n=158043&amp;dst=100005" TargetMode="External"/><Relationship Id="rId32" Type="http://schemas.openxmlformats.org/officeDocument/2006/relationships/hyperlink" Target="https://login.consultant.ru/link/?req=doc&amp;base=RLAW358&amp;n=173207&amp;dst=100005" TargetMode="External"/><Relationship Id="rId37" Type="http://schemas.openxmlformats.org/officeDocument/2006/relationships/hyperlink" Target="https://login.consultant.ru/link/?req=doc&amp;base=RLAW358&amp;n=172718&amp;dst=100400" TargetMode="External"/><Relationship Id="rId40" Type="http://schemas.openxmlformats.org/officeDocument/2006/relationships/hyperlink" Target="https://login.consultant.ru/link/?req=doc&amp;base=RLAW358&amp;n=162987&amp;dst=100011" TargetMode="External"/><Relationship Id="rId45" Type="http://schemas.openxmlformats.org/officeDocument/2006/relationships/hyperlink" Target="https://login.consultant.ru/link/?req=doc&amp;base=RLAW358&amp;n=170014&amp;dst=100011" TargetMode="External"/><Relationship Id="rId53" Type="http://schemas.openxmlformats.org/officeDocument/2006/relationships/hyperlink" Target="https://login.consultant.ru/link/?req=doc&amp;base=LAW&amp;n=475991" TargetMode="External"/><Relationship Id="rId58" Type="http://schemas.openxmlformats.org/officeDocument/2006/relationships/hyperlink" Target="https://login.consultant.ru/link/?req=doc&amp;base=RLAW358&amp;n=177961&amp;dst=100016" TargetMode="External"/><Relationship Id="rId66" Type="http://schemas.openxmlformats.org/officeDocument/2006/relationships/hyperlink" Target="https://login.consultant.ru/link/?req=doc&amp;base=RLAW358&amp;n=144030" TargetMode="External"/><Relationship Id="rId5" Type="http://schemas.openxmlformats.org/officeDocument/2006/relationships/hyperlink" Target="https://login.consultant.ru/link/?req=doc&amp;base=RLAW358&amp;n=96281&amp;dst=100005" TargetMode="External"/><Relationship Id="rId15" Type="http://schemas.openxmlformats.org/officeDocument/2006/relationships/hyperlink" Target="https://login.consultant.ru/link/?req=doc&amp;base=RLAW358&amp;n=135009&amp;dst=100005" TargetMode="External"/><Relationship Id="rId23" Type="http://schemas.openxmlformats.org/officeDocument/2006/relationships/hyperlink" Target="https://login.consultant.ru/link/?req=doc&amp;base=RLAW358&amp;n=152617&amp;dst=100005" TargetMode="External"/><Relationship Id="rId28" Type="http://schemas.openxmlformats.org/officeDocument/2006/relationships/hyperlink" Target="https://login.consultant.ru/link/?req=doc&amp;base=RLAW358&amp;n=168589&amp;dst=100005" TargetMode="External"/><Relationship Id="rId36" Type="http://schemas.openxmlformats.org/officeDocument/2006/relationships/hyperlink" Target="https://login.consultant.ru/link/?req=doc&amp;base=RLAW358&amp;n=181718&amp;dst=100005" TargetMode="External"/><Relationship Id="rId49" Type="http://schemas.openxmlformats.org/officeDocument/2006/relationships/hyperlink" Target="https://login.consultant.ru/link/?req=doc&amp;base=RLAW358&amp;n=179968&amp;dst=100005" TargetMode="External"/><Relationship Id="rId57" Type="http://schemas.openxmlformats.org/officeDocument/2006/relationships/hyperlink" Target="https://login.consultant.ru/link/?req=doc&amp;base=RLAW358&amp;n=175614&amp;dst=100015" TargetMode="External"/><Relationship Id="rId61" Type="http://schemas.openxmlformats.org/officeDocument/2006/relationships/hyperlink" Target="https://login.consultant.ru/link/?req=doc&amp;base=RLAW358&amp;n=181718&amp;dst=100027" TargetMode="External"/><Relationship Id="rId10" Type="http://schemas.openxmlformats.org/officeDocument/2006/relationships/hyperlink" Target="https://login.consultant.ru/link/?req=doc&amp;base=RLAW358&amp;n=117484&amp;dst=100005" TargetMode="External"/><Relationship Id="rId19" Type="http://schemas.openxmlformats.org/officeDocument/2006/relationships/hyperlink" Target="https://login.consultant.ru/link/?req=doc&amp;base=RLAW358&amp;n=145028&amp;dst=100005" TargetMode="External"/><Relationship Id="rId31" Type="http://schemas.openxmlformats.org/officeDocument/2006/relationships/hyperlink" Target="https://login.consultant.ru/link/?req=doc&amp;base=RLAW358&amp;n=170214&amp;dst=100005" TargetMode="External"/><Relationship Id="rId44" Type="http://schemas.openxmlformats.org/officeDocument/2006/relationships/hyperlink" Target="https://login.consultant.ru/link/?req=doc&amp;base=RLAW358&amp;n=169950&amp;dst=100005" TargetMode="External"/><Relationship Id="rId52" Type="http://schemas.openxmlformats.org/officeDocument/2006/relationships/hyperlink" Target="https://login.consultant.ru/link/?req=doc&amp;base=RLAW358&amp;n=181718&amp;dst=100011" TargetMode="External"/><Relationship Id="rId60" Type="http://schemas.openxmlformats.org/officeDocument/2006/relationships/hyperlink" Target="https://login.consultant.ru/link/?req=doc&amp;base=RLAW358&amp;n=181718&amp;dst=100026" TargetMode="External"/><Relationship Id="rId65" Type="http://schemas.openxmlformats.org/officeDocument/2006/relationships/hyperlink" Target="https://login.consultant.ru/link/?req=doc&amp;base=RLAW358&amp;n=181718&amp;dst=100027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15227&amp;dst=100005" TargetMode="External"/><Relationship Id="rId14" Type="http://schemas.openxmlformats.org/officeDocument/2006/relationships/hyperlink" Target="https://login.consultant.ru/link/?req=doc&amp;base=RLAW358&amp;n=134962&amp;dst=100005" TargetMode="External"/><Relationship Id="rId22" Type="http://schemas.openxmlformats.org/officeDocument/2006/relationships/hyperlink" Target="https://login.consultant.ru/link/?req=doc&amp;base=RLAW358&amp;n=150213&amp;dst=100005" TargetMode="External"/><Relationship Id="rId27" Type="http://schemas.openxmlformats.org/officeDocument/2006/relationships/hyperlink" Target="https://login.consultant.ru/link/?req=doc&amp;base=RLAW358&amp;n=168303&amp;dst=100005" TargetMode="External"/><Relationship Id="rId30" Type="http://schemas.openxmlformats.org/officeDocument/2006/relationships/hyperlink" Target="https://login.consultant.ru/link/?req=doc&amp;base=RLAW358&amp;n=170014&amp;dst=100011" TargetMode="External"/><Relationship Id="rId35" Type="http://schemas.openxmlformats.org/officeDocument/2006/relationships/hyperlink" Target="https://login.consultant.ru/link/?req=doc&amp;base=RLAW358&amp;n=181107&amp;dst=100005" TargetMode="External"/><Relationship Id="rId43" Type="http://schemas.openxmlformats.org/officeDocument/2006/relationships/hyperlink" Target="https://login.consultant.ru/link/?req=doc&amp;base=RLAW358&amp;n=168589&amp;dst=100005" TargetMode="External"/><Relationship Id="rId48" Type="http://schemas.openxmlformats.org/officeDocument/2006/relationships/hyperlink" Target="https://login.consultant.ru/link/?req=doc&amp;base=RLAW358&amp;n=175984&amp;dst=100005" TargetMode="External"/><Relationship Id="rId56" Type="http://schemas.openxmlformats.org/officeDocument/2006/relationships/hyperlink" Target="https://login.consultant.ru/link/?req=doc&amp;base=LAW&amp;n=488670&amp;dst=100774" TargetMode="External"/><Relationship Id="rId64" Type="http://schemas.openxmlformats.org/officeDocument/2006/relationships/hyperlink" Target="https://login.consultant.ru/link/?req=doc&amp;base=RLAW358&amp;n=181107&amp;dst=100303" TargetMode="External"/><Relationship Id="rId69" Type="http://schemas.openxmlformats.org/officeDocument/2006/relationships/hyperlink" Target="https://login.consultant.ru/link/?req=doc&amp;base=RLAW358&amp;n=176642" TargetMode="External"/><Relationship Id="rId8" Type="http://schemas.openxmlformats.org/officeDocument/2006/relationships/hyperlink" Target="https://login.consultant.ru/link/?req=doc&amp;base=RLAW358&amp;n=110245&amp;dst=100005" TargetMode="External"/><Relationship Id="rId51" Type="http://schemas.openxmlformats.org/officeDocument/2006/relationships/hyperlink" Target="https://login.consultant.ru/link/?req=doc&amp;base=RLAW358&amp;n=181718&amp;dst=100005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25832&amp;dst=100005" TargetMode="External"/><Relationship Id="rId17" Type="http://schemas.openxmlformats.org/officeDocument/2006/relationships/hyperlink" Target="https://login.consultant.ru/link/?req=doc&amp;base=RLAW358&amp;n=142162&amp;dst=100005" TargetMode="External"/><Relationship Id="rId25" Type="http://schemas.openxmlformats.org/officeDocument/2006/relationships/hyperlink" Target="https://login.consultant.ru/link/?req=doc&amp;base=RLAW358&amp;n=162987&amp;dst=100005" TargetMode="External"/><Relationship Id="rId33" Type="http://schemas.openxmlformats.org/officeDocument/2006/relationships/hyperlink" Target="https://login.consultant.ru/link/?req=doc&amp;base=RLAW358&amp;n=175984&amp;dst=100005" TargetMode="External"/><Relationship Id="rId38" Type="http://schemas.openxmlformats.org/officeDocument/2006/relationships/hyperlink" Target="https://login.consultant.ru/link/?req=doc&amp;base=RLAW358&amp;n=181534&amp;dst=100475" TargetMode="External"/><Relationship Id="rId46" Type="http://schemas.openxmlformats.org/officeDocument/2006/relationships/hyperlink" Target="https://login.consultant.ru/link/?req=doc&amp;base=RLAW358&amp;n=170214&amp;dst=100005" TargetMode="External"/><Relationship Id="rId59" Type="http://schemas.openxmlformats.org/officeDocument/2006/relationships/hyperlink" Target="https://login.consultant.ru/link/?req=doc&amp;base=RLAW358&amp;n=181718&amp;dst=100025" TargetMode="External"/><Relationship Id="rId67" Type="http://schemas.openxmlformats.org/officeDocument/2006/relationships/hyperlink" Target="https://login.consultant.ru/link/?req=doc&amp;base=RLAW358&amp;n=176642&amp;dst=222" TargetMode="External"/><Relationship Id="rId20" Type="http://schemas.openxmlformats.org/officeDocument/2006/relationships/hyperlink" Target="https://login.consultant.ru/link/?req=doc&amp;base=RLAW358&amp;n=145630&amp;dst=100005" TargetMode="External"/><Relationship Id="rId41" Type="http://schemas.openxmlformats.org/officeDocument/2006/relationships/hyperlink" Target="https://login.consultant.ru/link/?req=doc&amp;base=RLAW358&amp;n=164371&amp;dst=100005" TargetMode="External"/><Relationship Id="rId54" Type="http://schemas.openxmlformats.org/officeDocument/2006/relationships/hyperlink" Target="https://login.consultant.ru/link/?req=doc&amp;base=LAW&amp;n=358026" TargetMode="External"/><Relationship Id="rId62" Type="http://schemas.openxmlformats.org/officeDocument/2006/relationships/hyperlink" Target="https://login.consultant.ru/link/?req=doc&amp;base=RLAW358&amp;n=168303&amp;dst=101542" TargetMode="External"/><Relationship Id="rId70" Type="http://schemas.openxmlformats.org/officeDocument/2006/relationships/hyperlink" Target="https://login.consultant.ru/link/?req=doc&amp;base=RLAW358&amp;n=181107&amp;dst=10030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03233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3477</Words>
  <Characters>19821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2025-01-23T10:24:00Z</dcterms:created>
  <dcterms:modified xsi:type="dcterms:W3CDTF">2025-01-23T10:25:00Z</dcterms:modified>
</cp:coreProperties>
</file>