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27" w:rsidRPr="00AC7F27" w:rsidRDefault="00AC7F27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ПОСТАНОВЛЕНИЕ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от 20 ноября 2013 г. N 639-П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"ЗАЩИТА НАСЕЛЕНИЯ И ТЕРРИТОРИЙ ОТ ЧРЕЗВЫЧАЙНЫХ СИТУАЦИЙ, ОБЕСПЕЧЕНИЕ ПОЖАРНОЙ БЕЗОПАСНОСТИ"</w:t>
      </w:r>
    </w:p>
    <w:p w:rsidR="00AC7F27" w:rsidRPr="00AC7F27" w:rsidRDefault="00AC7F2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C7F27" w:rsidRPr="00AC7F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28.02.2014 </w:t>
            </w:r>
            <w:hyperlink r:id="rId5">
              <w:r w:rsidRPr="00AC7F27">
                <w:rPr>
                  <w:rFonts w:ascii="PT Astra Serif" w:hAnsi="PT Astra Serif"/>
                  <w:sz w:val="28"/>
                  <w:szCs w:val="28"/>
                </w:rPr>
                <w:t>N 133-П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26.05.2014 </w:t>
            </w:r>
            <w:hyperlink r:id="rId6">
              <w:r w:rsidRPr="00AC7F27">
                <w:rPr>
                  <w:rFonts w:ascii="PT Astra Serif" w:hAnsi="PT Astra Serif"/>
                  <w:sz w:val="28"/>
                  <w:szCs w:val="28"/>
                </w:rPr>
                <w:t>N 300-П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01.08.2014 </w:t>
            </w:r>
            <w:hyperlink r:id="rId7">
              <w:r w:rsidRPr="00AC7F27">
                <w:rPr>
                  <w:rFonts w:ascii="PT Astra Serif" w:hAnsi="PT Astra Serif"/>
                  <w:sz w:val="28"/>
                  <w:szCs w:val="28"/>
                </w:rPr>
                <w:t>N 429-П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26.09.2014 </w:t>
            </w:r>
            <w:hyperlink r:id="rId8">
              <w:r w:rsidRPr="00AC7F27">
                <w:rPr>
                  <w:rFonts w:ascii="PT Astra Serif" w:hAnsi="PT Astra Serif"/>
                  <w:sz w:val="28"/>
                  <w:szCs w:val="28"/>
                </w:rPr>
                <w:t>N 553-П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30.09.2014 </w:t>
            </w:r>
            <w:hyperlink r:id="rId9">
              <w:r w:rsidRPr="00AC7F27">
                <w:rPr>
                  <w:rFonts w:ascii="PT Astra Serif" w:hAnsi="PT Astra Serif"/>
                  <w:sz w:val="28"/>
                  <w:szCs w:val="28"/>
                </w:rPr>
                <w:t>N 558-П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06.03.2015 </w:t>
            </w:r>
            <w:hyperlink r:id="rId10">
              <w:r w:rsidRPr="00AC7F27">
                <w:rPr>
                  <w:rFonts w:ascii="PT Astra Serif" w:hAnsi="PT Astra Serif"/>
                  <w:sz w:val="28"/>
                  <w:szCs w:val="28"/>
                </w:rPr>
                <w:t>N 113-П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07.12.2015 </w:t>
            </w:r>
            <w:hyperlink r:id="rId11">
              <w:r w:rsidRPr="00AC7F27">
                <w:rPr>
                  <w:rFonts w:ascii="PT Astra Serif" w:hAnsi="PT Astra Serif"/>
                  <w:sz w:val="28"/>
                  <w:szCs w:val="28"/>
                </w:rPr>
                <w:t>N 609-П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31.12.2015 </w:t>
            </w:r>
            <w:hyperlink r:id="rId12">
              <w:r w:rsidRPr="00AC7F27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15.04.2016 </w:t>
            </w:r>
            <w:hyperlink r:id="rId13">
              <w:r w:rsidRPr="00AC7F27">
                <w:rPr>
                  <w:rFonts w:ascii="PT Astra Serif" w:hAnsi="PT Astra Serif"/>
                  <w:sz w:val="28"/>
                  <w:szCs w:val="28"/>
                </w:rPr>
                <w:t>N 173-П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30.12.2016 </w:t>
            </w:r>
            <w:hyperlink r:id="rId14">
              <w:r w:rsidRPr="00AC7F27">
                <w:rPr>
                  <w:rFonts w:ascii="PT Astra Serif" w:hAnsi="PT Astra Serif"/>
                  <w:sz w:val="28"/>
                  <w:szCs w:val="28"/>
                </w:rPr>
                <w:t>N 754-П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29.12.2017 </w:t>
            </w:r>
            <w:hyperlink r:id="rId15">
              <w:r w:rsidRPr="00AC7F27">
                <w:rPr>
                  <w:rFonts w:ascii="PT Astra Serif" w:hAnsi="PT Astra Serif"/>
                  <w:sz w:val="28"/>
                  <w:szCs w:val="28"/>
                </w:rPr>
                <w:t>N 727-П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10.05.2018 </w:t>
            </w:r>
            <w:hyperlink r:id="rId16">
              <w:r w:rsidRPr="00AC7F27">
                <w:rPr>
                  <w:rFonts w:ascii="PT Astra Serif" w:hAnsi="PT Astra Serif"/>
                  <w:sz w:val="28"/>
                  <w:szCs w:val="28"/>
                </w:rPr>
                <w:t>N 250-П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10.08.2018 </w:t>
            </w:r>
            <w:hyperlink r:id="rId17">
              <w:r w:rsidRPr="00AC7F27">
                <w:rPr>
                  <w:rFonts w:ascii="PT Astra Serif" w:hAnsi="PT Astra Serif"/>
                  <w:sz w:val="28"/>
                  <w:szCs w:val="28"/>
                </w:rPr>
                <w:t>N 449-П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15.11.2018 </w:t>
            </w:r>
            <w:hyperlink r:id="rId18">
              <w:r w:rsidRPr="00AC7F27">
                <w:rPr>
                  <w:rFonts w:ascii="PT Astra Serif" w:hAnsi="PT Astra Serif"/>
                  <w:sz w:val="28"/>
                  <w:szCs w:val="28"/>
                </w:rPr>
                <w:t>N 626-П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19">
              <w:r w:rsidRPr="00AC7F27">
                <w:rPr>
                  <w:rFonts w:ascii="PT Astra Serif" w:hAnsi="PT Astra Serif"/>
                  <w:sz w:val="28"/>
                  <w:szCs w:val="28"/>
                </w:rPr>
                <w:t>N 754-П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20">
              <w:r w:rsidRPr="00AC7F27">
                <w:rPr>
                  <w:rFonts w:ascii="PT Astra Serif" w:hAnsi="PT Astra Serif"/>
                  <w:sz w:val="28"/>
                  <w:szCs w:val="28"/>
                </w:rPr>
                <w:t>N 771-П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28.10.2019 </w:t>
            </w:r>
            <w:hyperlink r:id="rId21">
              <w:r w:rsidRPr="00AC7F27">
                <w:rPr>
                  <w:rFonts w:ascii="PT Astra Serif" w:hAnsi="PT Astra Serif"/>
                  <w:sz w:val="28"/>
                  <w:szCs w:val="28"/>
                </w:rPr>
                <w:t>N 754-П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30.12.2019 </w:t>
            </w:r>
            <w:hyperlink r:id="rId22">
              <w:r w:rsidRPr="00AC7F27">
                <w:rPr>
                  <w:rFonts w:ascii="PT Astra Serif" w:hAnsi="PT Astra Serif"/>
                  <w:sz w:val="28"/>
                  <w:szCs w:val="28"/>
                </w:rPr>
                <w:t>N 950-П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31.12.2020 </w:t>
            </w:r>
            <w:hyperlink r:id="rId23">
              <w:r w:rsidRPr="00AC7F27">
                <w:rPr>
                  <w:rFonts w:ascii="PT Astra Serif" w:hAnsi="PT Astra Serif"/>
                  <w:sz w:val="28"/>
                  <w:szCs w:val="28"/>
                </w:rPr>
                <w:t>N 1081-П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12.03.2021 </w:t>
            </w:r>
            <w:hyperlink r:id="rId24">
              <w:r w:rsidRPr="00AC7F27">
                <w:rPr>
                  <w:rFonts w:ascii="PT Astra Serif" w:hAnsi="PT Astra Serif"/>
                  <w:sz w:val="28"/>
                  <w:szCs w:val="28"/>
                </w:rPr>
                <w:t>N 149-П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31.08.2021 </w:t>
            </w:r>
            <w:hyperlink r:id="rId25">
              <w:r w:rsidRPr="00AC7F27">
                <w:rPr>
                  <w:rFonts w:ascii="PT Astra Serif" w:hAnsi="PT Astra Serif"/>
                  <w:sz w:val="28"/>
                  <w:szCs w:val="28"/>
                </w:rPr>
                <w:t>N 719-П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03.12.2021 </w:t>
            </w:r>
            <w:hyperlink r:id="rId26">
              <w:r w:rsidRPr="00AC7F27">
                <w:rPr>
                  <w:rFonts w:ascii="PT Astra Serif" w:hAnsi="PT Astra Serif"/>
                  <w:sz w:val="28"/>
                  <w:szCs w:val="28"/>
                </w:rPr>
                <w:t>N 1047-П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30.12.2021 </w:t>
            </w:r>
            <w:hyperlink r:id="rId27">
              <w:r w:rsidRPr="00AC7F27">
                <w:rPr>
                  <w:rFonts w:ascii="PT Astra Serif" w:hAnsi="PT Astra Serif"/>
                  <w:sz w:val="28"/>
                  <w:szCs w:val="28"/>
                </w:rPr>
                <w:t>N 1191-П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23.06.2022 </w:t>
            </w:r>
            <w:hyperlink r:id="rId28">
              <w:r w:rsidRPr="00AC7F27">
                <w:rPr>
                  <w:rFonts w:ascii="PT Astra Serif" w:hAnsi="PT Astra Serif"/>
                  <w:sz w:val="28"/>
                  <w:szCs w:val="28"/>
                </w:rPr>
                <w:t>N 527-П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06.09.2022 </w:t>
            </w:r>
            <w:hyperlink r:id="rId29">
              <w:r w:rsidRPr="00AC7F27">
                <w:rPr>
                  <w:rFonts w:ascii="PT Astra Serif" w:hAnsi="PT Astra Serif"/>
                  <w:sz w:val="28"/>
                  <w:szCs w:val="28"/>
                </w:rPr>
                <w:t>N 841-П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29.12.2022 </w:t>
            </w:r>
            <w:hyperlink r:id="rId30">
              <w:r w:rsidRPr="00AC7F27">
                <w:rPr>
                  <w:rFonts w:ascii="PT Astra Serif" w:hAnsi="PT Astra Serif"/>
                  <w:sz w:val="28"/>
                  <w:szCs w:val="28"/>
                </w:rPr>
                <w:t>N 1328-П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30.05.2023 </w:t>
            </w:r>
            <w:hyperlink r:id="rId31">
              <w:r w:rsidRPr="00AC7F27">
                <w:rPr>
                  <w:rFonts w:ascii="PT Astra Serif" w:hAnsi="PT Astra Serif"/>
                  <w:sz w:val="28"/>
                  <w:szCs w:val="28"/>
                </w:rPr>
                <w:t>N 477-П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29.08.2023 </w:t>
            </w:r>
            <w:hyperlink r:id="rId32">
              <w:r w:rsidRPr="00AC7F27">
                <w:rPr>
                  <w:rFonts w:ascii="PT Astra Serif" w:hAnsi="PT Astra Serif"/>
                  <w:sz w:val="28"/>
                  <w:szCs w:val="28"/>
                </w:rPr>
                <w:t>N 787-П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05.12.2023 </w:t>
            </w:r>
            <w:hyperlink r:id="rId33">
              <w:r w:rsidRPr="00AC7F27">
                <w:rPr>
                  <w:rFonts w:ascii="PT Astra Serif" w:hAnsi="PT Astra Serif"/>
                  <w:sz w:val="28"/>
                  <w:szCs w:val="28"/>
                </w:rPr>
                <w:t>N 1132-П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34">
              <w:r w:rsidRPr="00AC7F27">
                <w:rPr>
                  <w:rFonts w:ascii="PT Astra Serif" w:hAnsi="PT Astra Serif"/>
                  <w:sz w:val="28"/>
                  <w:szCs w:val="28"/>
                </w:rPr>
                <w:t>N 1262-П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26.11.2024 </w:t>
            </w:r>
            <w:hyperlink r:id="rId35">
              <w:r w:rsidRPr="00AC7F27">
                <w:rPr>
                  <w:rFonts w:ascii="PT Astra Serif" w:hAnsi="PT Astra Serif"/>
                  <w:sz w:val="28"/>
                  <w:szCs w:val="28"/>
                </w:rPr>
                <w:t>N 974-П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36">
              <w:r w:rsidRPr="00AC7F27">
                <w:rPr>
                  <w:rFonts w:ascii="PT Astra Serif" w:hAnsi="PT Astra Serif"/>
                  <w:sz w:val="28"/>
                  <w:szCs w:val="28"/>
                </w:rPr>
                <w:t>N 1117-П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13.08.2025 </w:t>
            </w:r>
            <w:hyperlink r:id="rId37">
              <w:r w:rsidRPr="00AC7F27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24.12.2025 </w:t>
            </w:r>
            <w:hyperlink r:id="rId38">
              <w:r w:rsidRPr="00AC7F27">
                <w:rPr>
                  <w:rFonts w:ascii="PT Astra Serif" w:hAnsi="PT Astra Serif"/>
                  <w:sz w:val="28"/>
                  <w:szCs w:val="28"/>
                </w:rPr>
                <w:t>N 966-П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28.01.2026 </w:t>
            </w:r>
            <w:hyperlink r:id="rId39">
              <w:r w:rsidRPr="00AC7F27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24.02.2026 </w:t>
            </w:r>
            <w:hyperlink r:id="rId40">
              <w:r w:rsidRPr="00AC7F27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26.03.2026 </w:t>
            </w:r>
            <w:hyperlink r:id="rId41">
              <w:r w:rsidRPr="00AC7F27">
                <w:rPr>
                  <w:rFonts w:ascii="PT Astra Serif" w:hAnsi="PT Astra Serif"/>
                  <w:sz w:val="28"/>
                  <w:szCs w:val="28"/>
                </w:rPr>
                <w:t>N 199-П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42">
              <w:r w:rsidRPr="00AC7F27">
                <w:rPr>
                  <w:rFonts w:ascii="PT Astra Serif" w:hAnsi="PT Astra Serif"/>
                  <w:sz w:val="28"/>
                  <w:szCs w:val="28"/>
                </w:rPr>
                <w:t>N 386-П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18.06.2026 </w:t>
            </w:r>
            <w:hyperlink r:id="rId43">
              <w:r w:rsidRPr="00AC7F27">
                <w:rPr>
                  <w:rFonts w:ascii="PT Astra Serif" w:hAnsi="PT Astra Serif"/>
                  <w:sz w:val="28"/>
                  <w:szCs w:val="28"/>
                </w:rPr>
                <w:t>N 465-П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На основании </w:t>
      </w:r>
      <w:hyperlink r:id="rId44">
        <w:r w:rsidRPr="00AC7F27">
          <w:rPr>
            <w:rFonts w:ascii="PT Astra Serif" w:hAnsi="PT Astra Serif"/>
            <w:sz w:val="28"/>
            <w:szCs w:val="28"/>
          </w:rPr>
          <w:t>Устава</w:t>
        </w:r>
      </w:hyperlink>
      <w:r w:rsidRPr="00AC7F27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45">
        <w:r w:rsidRPr="00AC7F27">
          <w:rPr>
            <w:rFonts w:ascii="PT Astra Serif" w:hAnsi="PT Astra Serif"/>
            <w:sz w:val="28"/>
            <w:szCs w:val="28"/>
          </w:rPr>
          <w:t>Закона</w:t>
        </w:r>
      </w:hyperlink>
      <w:r w:rsidRPr="00AC7F27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43">
        <w:r w:rsidRPr="00AC7F27">
          <w:rPr>
            <w:rFonts w:ascii="PT Astra Serif" w:hAnsi="PT Astra Serif"/>
            <w:sz w:val="28"/>
            <w:szCs w:val="28"/>
          </w:rPr>
          <w:t>программу</w:t>
        </w:r>
      </w:hyperlink>
      <w:r w:rsidRPr="00AC7F27">
        <w:rPr>
          <w:rFonts w:ascii="PT Astra Serif" w:hAnsi="PT Astra Serif"/>
          <w:sz w:val="28"/>
          <w:szCs w:val="28"/>
        </w:rPr>
        <w:t xml:space="preserve"> Саратовской области "Защита населения и территорий от чрезвычайных ситуаций, обеспечение пожарной безопасности" согласно приложению.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(</w:t>
      </w:r>
      <w:proofErr w:type="gramStart"/>
      <w:r w:rsidRPr="00AC7F27">
        <w:rPr>
          <w:rFonts w:ascii="PT Astra Serif" w:hAnsi="PT Astra Serif"/>
          <w:sz w:val="28"/>
          <w:szCs w:val="28"/>
        </w:rPr>
        <w:t>в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ред. </w:t>
      </w:r>
      <w:hyperlink r:id="rId46">
        <w:r w:rsidRPr="00AC7F2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771-П)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2. Настоящее постановление вступает в силу со дня его подписания.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Губернатор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Саратовской области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В.В.РАДАЕВ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 постановлению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от 20 ноября 2013 г. N 639-П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3"/>
      <w:bookmarkEnd w:id="0"/>
      <w:r w:rsidRPr="00AC7F27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"ЗАЩИТА НАСЕЛЕНИЯ И ТЕРРИТОРИЙ ОТ ЧРЕЗВЫЧАЙНЫХ СИТУАЦИЙ, </w:t>
      </w:r>
      <w:bookmarkStart w:id="1" w:name="_GoBack"/>
      <w:bookmarkEnd w:id="1"/>
      <w:r w:rsidRPr="00AC7F27">
        <w:rPr>
          <w:rFonts w:ascii="PT Astra Serif" w:hAnsi="PT Astra Serif"/>
          <w:sz w:val="28"/>
          <w:szCs w:val="28"/>
        </w:rPr>
        <w:t>ОБЕСПЕЧЕНИЕ ПОЖАРНОЙ БЕЗОПАСНОСТИ"</w:t>
      </w:r>
    </w:p>
    <w:p w:rsidR="00AC7F27" w:rsidRPr="00AC7F27" w:rsidRDefault="00AC7F2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C7F27" w:rsidRPr="00AC7F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30.05.2023 </w:t>
            </w:r>
            <w:hyperlink r:id="rId47">
              <w:r w:rsidRPr="00AC7F27">
                <w:rPr>
                  <w:rFonts w:ascii="PT Astra Serif" w:hAnsi="PT Astra Serif"/>
                  <w:sz w:val="28"/>
                  <w:szCs w:val="28"/>
                </w:rPr>
                <w:t>N 477-П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29.08.2023 </w:t>
            </w:r>
            <w:hyperlink r:id="rId48">
              <w:r w:rsidRPr="00AC7F27">
                <w:rPr>
                  <w:rFonts w:ascii="PT Astra Serif" w:hAnsi="PT Astra Serif"/>
                  <w:sz w:val="28"/>
                  <w:szCs w:val="28"/>
                </w:rPr>
                <w:t>N 787-П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05.12.2023 </w:t>
            </w:r>
            <w:hyperlink r:id="rId49">
              <w:r w:rsidRPr="00AC7F27">
                <w:rPr>
                  <w:rFonts w:ascii="PT Astra Serif" w:hAnsi="PT Astra Serif"/>
                  <w:sz w:val="28"/>
                  <w:szCs w:val="28"/>
                </w:rPr>
                <w:t>N 1132-П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50">
              <w:r w:rsidRPr="00AC7F27">
                <w:rPr>
                  <w:rFonts w:ascii="PT Astra Serif" w:hAnsi="PT Astra Serif"/>
                  <w:sz w:val="28"/>
                  <w:szCs w:val="28"/>
                </w:rPr>
                <w:t>N 1262-П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26.11.2024 </w:t>
            </w:r>
            <w:hyperlink r:id="rId51">
              <w:r w:rsidRPr="00AC7F27">
                <w:rPr>
                  <w:rFonts w:ascii="PT Astra Serif" w:hAnsi="PT Astra Serif"/>
                  <w:sz w:val="28"/>
                  <w:szCs w:val="28"/>
                </w:rPr>
                <w:t>N 974-П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52">
              <w:r w:rsidRPr="00AC7F27">
                <w:rPr>
                  <w:rFonts w:ascii="PT Astra Serif" w:hAnsi="PT Astra Serif"/>
                  <w:sz w:val="28"/>
                  <w:szCs w:val="28"/>
                </w:rPr>
                <w:t>N 1117-П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13.08.2025 </w:t>
            </w:r>
            <w:hyperlink r:id="rId53">
              <w:r w:rsidRPr="00AC7F27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24.12.2025 </w:t>
            </w:r>
            <w:hyperlink r:id="rId54">
              <w:r w:rsidRPr="00AC7F27">
                <w:rPr>
                  <w:rFonts w:ascii="PT Astra Serif" w:hAnsi="PT Astra Serif"/>
                  <w:sz w:val="28"/>
                  <w:szCs w:val="28"/>
                </w:rPr>
                <w:t>N 966-П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28.01.2026 </w:t>
            </w:r>
            <w:hyperlink r:id="rId55">
              <w:r w:rsidRPr="00AC7F27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24.02.2026 </w:t>
            </w:r>
            <w:hyperlink r:id="rId56">
              <w:r w:rsidRPr="00AC7F27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26.03.2026 </w:t>
            </w:r>
            <w:hyperlink r:id="rId57">
              <w:r w:rsidRPr="00AC7F27">
                <w:rPr>
                  <w:rFonts w:ascii="PT Astra Serif" w:hAnsi="PT Astra Serif"/>
                  <w:sz w:val="28"/>
                  <w:szCs w:val="28"/>
                </w:rPr>
                <w:t>N 199-П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58">
              <w:r w:rsidRPr="00AC7F27">
                <w:rPr>
                  <w:rFonts w:ascii="PT Astra Serif" w:hAnsi="PT Astra Serif"/>
                  <w:sz w:val="28"/>
                  <w:szCs w:val="28"/>
                </w:rPr>
                <w:t>N 386-П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18.06.2026 </w:t>
            </w:r>
            <w:hyperlink r:id="rId59">
              <w:r w:rsidRPr="00AC7F27">
                <w:rPr>
                  <w:rFonts w:ascii="PT Astra Serif" w:hAnsi="PT Astra Serif"/>
                  <w:sz w:val="28"/>
                  <w:szCs w:val="28"/>
                </w:rPr>
                <w:t>N 465-П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Саратовской области "Защита населения и территорий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от чрезвычайных ситуаций, обеспечение пожарной безопасности"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1. Оценка текущего состояния сферы защиты населения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и территорий от чрезвычайных ситуаций, обеспечения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пожарной безопасности области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Сферой реализации государственной программы является организация эффективной деятельности в области гражданской обороны (далее - ГО), защиты населения и территорий от чрезвычайных ситуаций (далее - ЧС) природного и техногенного характера, обеспечения пожарной безопасности и безопасности людей на водных объектах.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Защита населения и территорий от ЧС, обеспечение пожарной безопасности и безопасности людей на водных объектах осуществляются в рамках единой государственной системы предупреждения и ликвидации чрезвычайных ситуаций.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На территории Российской Федерации ежегодно растет количество опасных природных явлений и крупных техногенных катастроф. Увеличивается количество ЧС биолого-социального характера, расширяются границы природных очагов эпизоотии на территориях субъектов Российской Федерации.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Вместе с тем, риски природных и техногенных ЧС, возникающие в процессе глобального изменения климата, хозяйственной деятельности или </w:t>
      </w:r>
      <w:proofErr w:type="gramStart"/>
      <w:r w:rsidRPr="00AC7F27">
        <w:rPr>
          <w:rFonts w:ascii="PT Astra Serif" w:hAnsi="PT Astra Serif"/>
          <w:sz w:val="28"/>
          <w:szCs w:val="28"/>
        </w:rPr>
        <w:t>в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C7F27">
        <w:rPr>
          <w:rFonts w:ascii="PT Astra Serif" w:hAnsi="PT Astra Serif"/>
          <w:sz w:val="28"/>
          <w:szCs w:val="28"/>
        </w:rPr>
        <w:t>результате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крупных техногенных аварий и катастроф, несут значительную </w:t>
      </w:r>
      <w:r w:rsidRPr="00AC7F27">
        <w:rPr>
          <w:rFonts w:ascii="PT Astra Serif" w:hAnsi="PT Astra Serif"/>
          <w:sz w:val="28"/>
          <w:szCs w:val="28"/>
        </w:rPr>
        <w:lastRenderedPageBreak/>
        <w:t>угрозу для населения и объектов экономики. Аналогичная ситуация наблюдается в отношении пожаров и происшествий на водных объектах.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Одной из основных причин крупных техногенных аварий и пожаров остается человеческий фактор.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Основными проблемами, порождающими возникновение техногенных ЧС, являются: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высокий уровень износа основных и производственных фондов и систем защиты от возникновения ЧС;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нарушение правил и требований при эксплуатации железнодорожного, автомобильного и авиационного транспорта;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низкий уровень подготовленности и практических навыков обслуживающего персонала;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отсутствие на объектах промышленности и транспорта резервных источников электроснабжения;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слабое взаимодействие органов, заинтересованных в вопросах защиты населения и территории от ЧС, обеспечения пожарной безопасности государственной власти и организаций;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недостаточный уровень надзора за состоянием технических средств;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ухудшение материально-технического обеспечения, снижение качества регламентных работ, повышенный износ и разрушение оборудования;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нарушение правил и техники безопасности, неосторожное обращение с огнем и умышленные поджоги;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высокий уровень выработки ресурса основного технологического оборудования и неудовлетворительное состояние основных фондов в целом;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нарушение правил дорожного движения, а также правил и требований при эксплуатации всех видов транспорта.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Размещение и хранение имущества и собственных запасов средств защиты органов дыхания, накопленных в области, осуществляется на ответственном хранении на специализированных складах, которые введены в эксплуатацию в период с 1969 по 1985 годы. За время эксплуатации из-за недофинансирования капитальный ремонт на складах не проводился, текущий ремонт производился в ограниченном объеме, что привело к ветхому состоянию зданий складов и невозможности обеспечения качественной сохранности имущества. Требуется капитальный ремонт вышеуказанных складских помещений.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lastRenderedPageBreak/>
        <w:t>В последнее время социально-экономические условия жизнедеятельности населения кардинально изменились. Активная его часть стала чрезвычайно мобильной, возникли напряженные грузопотоки и пассажиропотоки, сформировалась высокая плотность населения в городах, образовалось большое количество мест массового пребывания людей, значительно повысился уровень террористической угрозы и т.д. Все это поставило области и ее экстренным оперативным службам новые, более высокие требования к оперативности и эффективности реагирования на поступающие от населения вызовы.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На территории Саратовской области сохраняется тенденция к высокому уровню возникновения ЧС природного и техногенного характера. Сохраняется рост числа ЧС, прямых и косвенных экономических, социальных и материальных потерь.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C7F27">
        <w:rPr>
          <w:rFonts w:ascii="PT Astra Serif" w:hAnsi="PT Astra Serif"/>
          <w:sz w:val="28"/>
          <w:szCs w:val="28"/>
        </w:rPr>
        <w:t>В соответствии с Соглашением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Саратовской области о передаче Министерству Российской 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территории от чрезвычайных ситуаций и обмену такой информацией, организации и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C7F27">
        <w:rPr>
          <w:rFonts w:ascii="PT Astra Serif" w:hAnsi="PT Astra Serif"/>
          <w:sz w:val="28"/>
          <w:szCs w:val="28"/>
        </w:rPr>
        <w:t>проведению аварийно-спасательных и других неотложных работ при чрезвычайных ситуациях межмуниципального и регионального характера, организации тушения пожаров силами Государственной противопожарной службы, утвержденным распоряжением Правительства Российской Федерации от 10 октября 2019 года N 2374-р, на территории Саратовской области Главное управление МЧС России по Саратовской области осуществляет переданные полномочия по обеспечению пожарной безопасности и обмену информацией в области защиты населения и территории от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ЧС.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Важная роль в обеспечении пожарной безопасности населения области отводится областному государственному учреждению "Противопожарная служба Саратовской области" (далее - ОГУ "Противопожарная служба Саратовской области").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Саратовской области.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Основной задачей по обеспечению пожарной безопасности населения является снижение показателей времени реагирования на пожары и другие чрезвычайные происшествия. Отмечается снижение значений указанных показателей в целом по Саратовской области, которому способствовало открытие новых пожарных постов, которые прикрывают большее количество </w:t>
      </w:r>
      <w:r w:rsidRPr="00AC7F27">
        <w:rPr>
          <w:rFonts w:ascii="PT Astra Serif" w:hAnsi="PT Astra Serif"/>
          <w:sz w:val="28"/>
          <w:szCs w:val="28"/>
        </w:rPr>
        <w:lastRenderedPageBreak/>
        <w:t>территорий области, что в значительной степени способствует оперативному реагированию на пожары.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 объектам с массовым пребыванием людей относятся общественные здания и сооружения, в которых одновременно может находиться 50 и более человек. Категория объектов с массовым пребыванием людей имеет достаточно широкую номенклатуру. Особое место среди объектов с массовым пребыванием людей занимают социальные учреждения: учреждения здравоохранения, культуры, труда и социальной защиты, так как в этих учреждениях находятся наиболее социально незащищенные группы населения (дети, пенсионеры, ветераны, люди с ограничением по здоровью). Также к этой категории объектов с массовым пребыванием людей необходимо отнести спортивные сооружения, так как в них возможно одновременное пребывание большого количества людей.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Проблема обеспечения пожарной безопасности указанных учреждений является одной из важнейших составляющих политики в области социального обслуживания населения на территории Саратовской области. Пожары на объектах с массовым пребыванием людей наиболее опасны и имеют широкий общественный резонанс.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Опыт работы экстренных оперативных служб показывает, что для эффективного оказания помощи при происшествиях или ЧС более чем в 20 процентах случаев требуется привлечение более одной экстренной службы.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Обеспечение подразделений областного государственного учреждения "Служба спасения Саратовской области" (далее - ОГУ "Служба спасения Саратовской области") современными средствами спасения и жизнеобеспечения позволит повысить эффективность и качество проведения аварийно-спасательных работ, дооснастить необходимым аварийно-спасательным оборудованием структурные подразделения службы в городах: </w:t>
      </w:r>
      <w:proofErr w:type="gramStart"/>
      <w:r w:rsidRPr="00AC7F27">
        <w:rPr>
          <w:rFonts w:ascii="PT Astra Serif" w:hAnsi="PT Astra Serif"/>
          <w:sz w:val="28"/>
          <w:szCs w:val="28"/>
        </w:rPr>
        <w:t>Саратов, Балаково, Балашов, Вольск, Маркс, Ершов, Аткарск, Ртищево, Новоузенск, Пугачев, Хвалынск, Энгельс, что приведет к сокращению времени реагирования на ЧС и повысит качество оказания первой помощи пострадавшим непосредственно в зоне ЧС.</w:t>
      </w:r>
      <w:proofErr w:type="gramEnd"/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Основной задачей деятельности исполнительных органов области в сфере снижения рисков ЧС природного и техногенного характера является обеспечение необходимых условий для безопасной жизнедеятельности населения, сбалансированного и устойчивого социально-экономического развития области с учетом планов реализации </w:t>
      </w:r>
      <w:proofErr w:type="gramStart"/>
      <w:r w:rsidRPr="00AC7F27">
        <w:rPr>
          <w:rFonts w:ascii="PT Astra Serif" w:hAnsi="PT Astra Serif"/>
          <w:sz w:val="28"/>
          <w:szCs w:val="28"/>
        </w:rPr>
        <w:t>экономических и инфраструктурных проектов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на период до 2030 года.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Состояние Саратовской территориальной подсистемы единой государственной системы предупреждения и ликвидации чрезвычайных ситуаций (далее - СТП РСЧС) на сегодняшний день не в полной мере обеспечивает комплексное решение проблем защиты населения и территорий </w:t>
      </w:r>
      <w:r w:rsidRPr="00AC7F27">
        <w:rPr>
          <w:rFonts w:ascii="PT Astra Serif" w:hAnsi="PT Astra Serif"/>
          <w:sz w:val="28"/>
          <w:szCs w:val="28"/>
        </w:rPr>
        <w:lastRenderedPageBreak/>
        <w:t>от ЧС. Проблема может быть решена только программно-целевым методом на основе существующих механизмов регулирования и практического обеспечения мер защиты населения и территорий от ЧС.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Все вышеприведенные факты подтверждают актуальность рассматриваемой проблемы и необходимость программно-целевого подхода к ее решению.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0">
        <w:proofErr w:type="gramStart"/>
        <w:r w:rsidRPr="00AC7F27">
          <w:rPr>
            <w:rFonts w:ascii="PT Astra Serif" w:hAnsi="PT Astra Serif"/>
            <w:sz w:val="28"/>
            <w:szCs w:val="28"/>
          </w:rPr>
          <w:t>Концепцией</w:t>
        </w:r>
      </w:hyperlink>
      <w:r w:rsidRPr="00AC7F27">
        <w:rPr>
          <w:rFonts w:ascii="PT Astra Serif" w:hAnsi="PT Astra Serif"/>
          <w:sz w:val="28"/>
          <w:szCs w:val="28"/>
        </w:rPr>
        <w:t xml:space="preserve"> построения и развития аппаратно-программного комплекса "Безопасный город", утвержденной распоряжением Правительства Российской Федерации от 3 декабря 2014 года N 2446-р, (далее - Концепция) отмечено, что решение задач обеспечения национальной безопасности в ЧС должно достигаться за счет повышения эффективности реализации полномочий органов местного самоуправления муниципальных образований Саратовской области в сфере обеспечения безопасности жизнедеятельности населения.</w:t>
      </w:r>
      <w:proofErr w:type="gramEnd"/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Аппаратно-программный комплекс "Безопасный город" (далее - АПК "Безопасный город") рассматривается как основной инструмент для эффективной реализации комплексных </w:t>
      </w:r>
      <w:proofErr w:type="gramStart"/>
      <w:r w:rsidRPr="00AC7F27">
        <w:rPr>
          <w:rFonts w:ascii="PT Astra Serif" w:hAnsi="PT Astra Serif"/>
          <w:sz w:val="28"/>
          <w:szCs w:val="28"/>
        </w:rPr>
        <w:t>систем обеспечения безопасности жизнедеятельности населения</w:t>
      </w:r>
      <w:proofErr w:type="gramEnd"/>
      <w:r w:rsidRPr="00AC7F27">
        <w:rPr>
          <w:rFonts w:ascii="PT Astra Serif" w:hAnsi="PT Astra Serif"/>
          <w:sz w:val="28"/>
          <w:szCs w:val="28"/>
        </w:rPr>
        <w:t>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C7F27">
        <w:rPr>
          <w:rFonts w:ascii="PT Astra Serif" w:hAnsi="PT Astra Serif"/>
          <w:sz w:val="28"/>
          <w:szCs w:val="28"/>
        </w:rPr>
        <w:t>Целью построения и развития АПК "Безопасный город" является повышение общего уровня общественной безопасности, правопорядка и безопасности среды обитания за счет существенного улучшения координации деятельности сил и служб, ответственных за решение этих задач, путем внедрения на базе муниципальных образований Саратовской области (в соответствии с едиными функциональными и технологическими стандартами) комплексной информационной системы, обеспечивающей прогнозирование, мониторинг, предупреждение и ликвидацию возможных угроз, а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также контроль действий информационно-управляющих подсистем дежурных, диспетчерских, муниципальных служб для их оперативного взаимодействия в интересах муниципальных образований Саратовской области.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C7F27">
        <w:rPr>
          <w:rFonts w:ascii="PT Astra Serif" w:hAnsi="PT Astra Serif"/>
          <w:sz w:val="28"/>
          <w:szCs w:val="28"/>
        </w:rPr>
        <w:t>Концепцией определено, что целью развития АПК "Безопасный город" является дальнейшее повышение общего уровня общественной безопасности, правопорядка и безопасности среды обитания на основе разработки единых стандартов функциональных и технических требований и создания на их основе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ЧС и происшествий на территории муниципального образования.</w:t>
      </w:r>
      <w:proofErr w:type="gramEnd"/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Муниципальный уровень является базовым уровнем единой межведомственной информационной среды, создаваемой в рамках построения и развития АПК "Безопасный город", центром сбора и обработки </w:t>
      </w:r>
      <w:r w:rsidRPr="00AC7F27">
        <w:rPr>
          <w:rFonts w:ascii="PT Astra Serif" w:hAnsi="PT Astra Serif"/>
          <w:sz w:val="28"/>
          <w:szCs w:val="28"/>
        </w:rPr>
        <w:lastRenderedPageBreak/>
        <w:t>информации с целью принятия оперативных решений по всем вопросам обеспечения общественной безопасности и безопасности среды обитания. В реализации задач обеспечения общественной безопасности, правопорядка и безопасности среды обитания населения на муниципальном уровне участвуют (по согласованию) все органы местного самоуправления и территориальные органы федеральных органов исполнительной власти.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АПК "Безопасный город" базируется на интеграционной платформе и обеспечивает сквозную передачу и обработку информации, целостность и согласованность потоков информации и процедур в рамках межведомственного взаимодействия с учетом ограничений прав доступа согласно регламентирующим документам соответствующих ведомств.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На региональном уровне агрегированная информация из муниципальных образований консолидируется на базе информационно-коммуникационной платформы, обеспечивающей исполнительным органам субъектов Российской Федерации и полномочным представителям Президента Российской Федерации в федеральных округах возможность: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контроля над оперативной и текущей обстановкой в регионе;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координации межведомственного взаимодействия на региональном уровне;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обеспечения оперативного управления службами и ведомствами в случае региональных ЧС и в критических ситуациях.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Концепцией предусмотрена возможность финансирования создания АПК "Безопасный город" из средств федерального бюджета, областного бюджета, местных бюджетов, внебюджетных источников. В качестве механизмов привлечения внебюджетных средств может использоваться инвестиционный налоговый кредит, государственно-частное партнерство и иные виды государственной поддержки.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области "Защита населения и территорий </w:t>
      </w:r>
      <w:proofErr w:type="gramStart"/>
      <w:r w:rsidRPr="00AC7F27">
        <w:rPr>
          <w:rFonts w:ascii="PT Astra Serif" w:hAnsi="PT Astra Serif"/>
          <w:sz w:val="28"/>
          <w:szCs w:val="28"/>
        </w:rPr>
        <w:t>от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чрезвычайных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ситуаций, обеспечение пожарной безопасности"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C7F27">
        <w:rPr>
          <w:rFonts w:ascii="PT Astra Serif" w:hAnsi="PT Astra Serif"/>
          <w:sz w:val="28"/>
          <w:szCs w:val="28"/>
        </w:rPr>
        <w:t xml:space="preserve">Цели и задачи государственной программы Саратовской области "Защита населения и территорий от чрезвычайных ситуаций, обеспечение пожарной безопасности" (далее - государственная программа) определены и сформированы с учетом </w:t>
      </w:r>
      <w:hyperlink r:id="rId61">
        <w:r w:rsidRPr="00AC7F27">
          <w:rPr>
            <w:rFonts w:ascii="PT Astra Serif" w:hAnsi="PT Astra Serif"/>
            <w:sz w:val="28"/>
            <w:szCs w:val="28"/>
          </w:rPr>
          <w:t>Основ</w:t>
        </w:r>
      </w:hyperlink>
      <w:r w:rsidRPr="00AC7F27">
        <w:rPr>
          <w:rFonts w:ascii="PT Astra Serif" w:hAnsi="PT Astra Serif"/>
          <w:sz w:val="28"/>
          <w:szCs w:val="28"/>
        </w:rPr>
        <w:t xml:space="preserve"> государственной политики Российской Федерации в области гражданской обороны на период до 2030 года, утвержденных Указом Президента Российской Федерации от 20 декабря 2016 года N 696, </w:t>
      </w:r>
      <w:hyperlink r:id="rId62">
        <w:r w:rsidRPr="00AC7F27">
          <w:rPr>
            <w:rFonts w:ascii="PT Astra Serif" w:hAnsi="PT Astra Serif"/>
            <w:sz w:val="28"/>
            <w:szCs w:val="28"/>
          </w:rPr>
          <w:t>Основ</w:t>
        </w:r>
      </w:hyperlink>
      <w:r w:rsidRPr="00AC7F27">
        <w:rPr>
          <w:rFonts w:ascii="PT Astra Serif" w:hAnsi="PT Astra Serif"/>
          <w:sz w:val="28"/>
          <w:szCs w:val="28"/>
        </w:rPr>
        <w:t xml:space="preserve"> государственной политики Российской Федерации в области пожарной безопасности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C7F27">
        <w:rPr>
          <w:rFonts w:ascii="PT Astra Serif" w:hAnsi="PT Astra Serif"/>
          <w:sz w:val="28"/>
          <w:szCs w:val="28"/>
        </w:rPr>
        <w:t xml:space="preserve">на период до 2030 года, утвержденных </w:t>
      </w:r>
      <w:r w:rsidRPr="00AC7F27">
        <w:rPr>
          <w:rFonts w:ascii="PT Astra Serif" w:hAnsi="PT Astra Serif"/>
          <w:sz w:val="28"/>
          <w:szCs w:val="28"/>
        </w:rPr>
        <w:lastRenderedPageBreak/>
        <w:t xml:space="preserve">Указом Президента Российской Федерации от 1 января 2018 года N 2, </w:t>
      </w:r>
      <w:hyperlink r:id="rId63">
        <w:r w:rsidRPr="00AC7F27">
          <w:rPr>
            <w:rFonts w:ascii="PT Astra Serif" w:hAnsi="PT Astra Serif"/>
            <w:sz w:val="28"/>
            <w:szCs w:val="28"/>
          </w:rPr>
          <w:t>Основ</w:t>
        </w:r>
      </w:hyperlink>
      <w:r w:rsidRPr="00AC7F27">
        <w:rPr>
          <w:rFonts w:ascii="PT Astra Serif" w:hAnsi="PT Astra Serif"/>
          <w:sz w:val="28"/>
          <w:szCs w:val="28"/>
        </w:rPr>
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года, утвержденных Указом Президента Российской Федерации от 11 января 2018 года N 12, а также с учетом положений </w:t>
      </w:r>
      <w:hyperlink r:id="rId64">
        <w:r w:rsidRPr="00AC7F27">
          <w:rPr>
            <w:rFonts w:ascii="PT Astra Serif" w:hAnsi="PT Astra Serif"/>
            <w:sz w:val="28"/>
            <w:szCs w:val="28"/>
          </w:rPr>
          <w:t>Стратегии</w:t>
        </w:r>
      </w:hyperlink>
      <w:r w:rsidRPr="00AC7F27">
        <w:rPr>
          <w:rFonts w:ascii="PT Astra Serif" w:hAnsi="PT Astra Serif"/>
          <w:sz w:val="28"/>
          <w:szCs w:val="28"/>
        </w:rPr>
        <w:t xml:space="preserve"> в области развития гражданской обороны, защиты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населения и территорий от чрезвычайных ситуаций, обеспечения пожарной безопасности и безопасности людей на водных объектах на период до 2030 года, утвержденной Указом Президента Российской Федерации от 16 октября 2019 года N 501, и </w:t>
      </w:r>
      <w:hyperlink r:id="rId65">
        <w:r w:rsidRPr="00AC7F27">
          <w:rPr>
            <w:rFonts w:ascii="PT Astra Serif" w:hAnsi="PT Astra Serif"/>
            <w:sz w:val="28"/>
            <w:szCs w:val="28"/>
          </w:rPr>
          <w:t>Стратегии</w:t>
        </w:r>
      </w:hyperlink>
      <w:r w:rsidRPr="00AC7F27">
        <w:rPr>
          <w:rFonts w:ascii="PT Astra Serif" w:hAnsi="PT Astra Serif"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2 июля 2021 года N 400.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Определены приоритеты государственной программы.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Цель 1: снижение количества деструктивных событий (чрезвычайных ситуаций, пожаров, происшествий на водных объектах).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Для достижения цели планируется: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осуществление комплекса мероприятий, направленных на обеспечение предупреждения ЧС природного и техногенного характера, пожаров, происшествий на водных объектах, и снижение тяжести их последствий;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реконструкция региональной системы оповещения населения области о ЧС природного и техногенного характера, обеспечение устойчивого функционирования модернизированной (реконструированной) региональной системы оповещения.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Цель 2: прикрытие территорий и населения Саратовской области подразделениями противопожарной службы.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Для достижения цели планируется осуществление мероприятий по обеспечению пожарной безопасности, в том числе объектов здравоохранения, социальной и культурной сферы.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(часть шестая в ред. </w:t>
      </w:r>
      <w:hyperlink r:id="rId66">
        <w:r w:rsidRPr="00AC7F2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13.08.2025 N 631-П)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Цель 3: функционирование системы 112 Саратовской области.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(часть седьмая в ред. </w:t>
      </w:r>
      <w:hyperlink r:id="rId67">
        <w:r w:rsidRPr="00AC7F2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05.12.2023 N 1132-П)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Для достижения цели планируется осуществить: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построение, развитие и обеспечение </w:t>
      </w:r>
      <w:proofErr w:type="gramStart"/>
      <w:r w:rsidRPr="00AC7F27">
        <w:rPr>
          <w:rFonts w:ascii="PT Astra Serif" w:hAnsi="PT Astra Serif"/>
          <w:sz w:val="28"/>
          <w:szCs w:val="28"/>
        </w:rPr>
        <w:t xml:space="preserve">функционирования системы </w:t>
      </w:r>
      <w:r w:rsidRPr="00AC7F27">
        <w:rPr>
          <w:rFonts w:ascii="PT Astra Serif" w:hAnsi="PT Astra Serif"/>
          <w:sz w:val="28"/>
          <w:szCs w:val="28"/>
        </w:rPr>
        <w:lastRenderedPageBreak/>
        <w:t>обеспечения вызова экстренных оперативных служб</w:t>
      </w:r>
      <w:proofErr w:type="gramEnd"/>
      <w:r w:rsidRPr="00AC7F27">
        <w:rPr>
          <w:rFonts w:ascii="PT Astra Serif" w:hAnsi="PT Astra Serif"/>
          <w:sz w:val="28"/>
          <w:szCs w:val="28"/>
        </w:rPr>
        <w:t xml:space="preserve"> по единому номеру "112" (системы-112) в Саратовской области;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повышение уровня оповещения населения о ЧС и происшествиях.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происшествий на водных объектах;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обеспечение эффективной деятельности и управления в области обеспечения пожарной безопасности;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повышение уровня оповещения населения;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(в ред. </w:t>
      </w:r>
      <w:hyperlink r:id="rId68">
        <w:r w:rsidRPr="00AC7F2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13.08.2025 N 631-П)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повышение уровня оповещения населения о чрезвычайных ситуациях и происшествиях;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создание государственной информационной системы "Общественная безопасность и правопорядок" аппаратно-программного комплекса "Безопасный город" Саратовской области.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(в ред. </w:t>
      </w:r>
      <w:hyperlink r:id="rId69">
        <w:r w:rsidRPr="00AC7F2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24.02.2026 N 116-П)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(часть девятая в ред. </w:t>
      </w:r>
      <w:hyperlink r:id="rId70">
        <w:r w:rsidRPr="00AC7F27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05.12.2023 N 1132-П)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Часть десятая утратила силу с 1 января 2024 года. - </w:t>
      </w:r>
      <w:hyperlink r:id="rId71">
        <w:r w:rsidRPr="00AC7F2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05.12.2023 N 1132-П.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Для достижения целей и задач государственной программы включены следующие направления (подпрограммы) реализации: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подпрограмма 1 "Снижение рисков и смягчение последствий чрезвычайных ситуаций природного и техногенного характера";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подпрограмма 2 "Пожарная безопасность";</w:t>
      </w:r>
    </w:p>
    <w:p w:rsidR="00AC7F27" w:rsidRPr="00AC7F27" w:rsidRDefault="00AC7F27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подпрограмма 3 "Построение и развитие аппаратно-программного комплекса "Безопасный город" на территории Саратовской области".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Паспорт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"Защита населения и территорий от чрезвычайных ситуаций,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обеспечение пожарной безопасности"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lastRenderedPageBreak/>
        <w:t xml:space="preserve">Утратил силу. - </w:t>
      </w:r>
      <w:hyperlink r:id="rId72">
        <w:r w:rsidRPr="00AC7F2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1117-П.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Подпрограмма 1 "Снижение рисков и смягчение последствий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чрезвычайных ситуаций природного и техногенного характера"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3">
        <w:r w:rsidRPr="00AC7F2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1117-П.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Подпрограмма 2 "Пожарная безопасность"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4">
        <w:r w:rsidRPr="00AC7F2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1117-П.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Подпрограмма 3 "Построение и развитие </w:t>
      </w:r>
      <w:proofErr w:type="gramStart"/>
      <w:r w:rsidRPr="00AC7F27">
        <w:rPr>
          <w:rFonts w:ascii="PT Astra Serif" w:hAnsi="PT Astra Serif"/>
          <w:sz w:val="28"/>
          <w:szCs w:val="28"/>
        </w:rPr>
        <w:t>аппаратно-программного</w:t>
      </w:r>
      <w:proofErr w:type="gramEnd"/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комплекса "Безопасный город" на территории</w:t>
      </w: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Саратовской области"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 xml:space="preserve">Утратила силу. - </w:t>
      </w:r>
      <w:hyperlink r:id="rId75">
        <w:r w:rsidRPr="00AC7F27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C7F27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1117-П.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Приложение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Саратовской области "Защита населения и территорий</w:t>
      </w:r>
    </w:p>
    <w:p w:rsidR="00AC7F27" w:rsidRPr="00AC7F27" w:rsidRDefault="00AC7F27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от чрезвычайных ситуаций, обеспечение пожарной безопасности"</w:t>
      </w: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C7F27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AC7F27" w:rsidRPr="00AC7F27" w:rsidRDefault="00AC7F27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C7F27" w:rsidRPr="00AC7F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24.12.2025 </w:t>
            </w:r>
            <w:hyperlink r:id="rId76">
              <w:r w:rsidRPr="00AC7F27">
                <w:rPr>
                  <w:rFonts w:ascii="PT Astra Serif" w:hAnsi="PT Astra Serif"/>
                  <w:sz w:val="28"/>
                  <w:szCs w:val="28"/>
                </w:rPr>
                <w:t>N 966-П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28.01.2026 </w:t>
            </w:r>
            <w:hyperlink r:id="rId77">
              <w:r w:rsidRPr="00AC7F27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24.02.2026 </w:t>
            </w:r>
            <w:hyperlink r:id="rId78">
              <w:r w:rsidRPr="00AC7F27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26.03.2026 </w:t>
            </w:r>
            <w:hyperlink r:id="rId79">
              <w:r w:rsidRPr="00AC7F27">
                <w:rPr>
                  <w:rFonts w:ascii="PT Astra Serif" w:hAnsi="PT Astra Serif"/>
                  <w:sz w:val="28"/>
                  <w:szCs w:val="28"/>
                </w:rPr>
                <w:t>N 199-П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80">
              <w:r w:rsidRPr="00AC7F27">
                <w:rPr>
                  <w:rFonts w:ascii="PT Astra Serif" w:hAnsi="PT Astra Serif"/>
                  <w:sz w:val="28"/>
                  <w:szCs w:val="28"/>
                </w:rPr>
                <w:t>N 386-П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, от 18.06.2026 </w:t>
            </w:r>
            <w:hyperlink r:id="rId81">
              <w:r w:rsidRPr="00AC7F27">
                <w:rPr>
                  <w:rFonts w:ascii="PT Astra Serif" w:hAnsi="PT Astra Serif"/>
                  <w:sz w:val="28"/>
                  <w:szCs w:val="28"/>
                </w:rPr>
                <w:t>N 465-П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rPr>
          <w:rFonts w:ascii="PT Astra Serif" w:hAnsi="PT Astra Serif"/>
          <w:sz w:val="28"/>
          <w:szCs w:val="28"/>
        </w:rPr>
        <w:sectPr w:rsidR="00AC7F27" w:rsidRPr="00AC7F27" w:rsidSect="00B05F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288"/>
        <w:gridCol w:w="2556"/>
        <w:gridCol w:w="907"/>
        <w:gridCol w:w="2556"/>
        <w:gridCol w:w="3458"/>
      </w:tblGrid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C7F27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3288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6019" w:type="dxa"/>
            <w:gridSpan w:val="3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58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288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19" w:type="dxa"/>
            <w:gridSpan w:val="3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458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Подпрограмма 1 "Снижение рисков и смягчение последствий чрезвычайных ситуаций природного и техногенного характера"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реализации мероприятий в области гражданской обороны и защиты населения от чрезвычайных ситуаций"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751" w:type="dxa"/>
            <w:gridSpan w:val="3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C7F27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региональной безопасности Правительства области</w:t>
            </w:r>
          </w:p>
        </w:tc>
        <w:tc>
          <w:tcPr>
            <w:tcW w:w="6014" w:type="dxa"/>
            <w:gridSpan w:val="2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C7F27" w:rsidRPr="00AC7F27">
        <w:tblPrEx>
          <w:tblBorders>
            <w:insideH w:val="nil"/>
          </w:tblBorders>
        </w:tblPrEx>
        <w:tc>
          <w:tcPr>
            <w:tcW w:w="794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3288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Обеспечение эффективного предупреждения и ликвидации чрезвычайных ситуаций природного и техногенного характера, происшествий на водных объектах</w:t>
            </w:r>
          </w:p>
        </w:tc>
        <w:tc>
          <w:tcPr>
            <w:tcW w:w="6019" w:type="dxa"/>
            <w:gridSpan w:val="3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обеспечена реализация функций и полномочий областного государственного учреждения "Безопасный регион";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обеспечено размещение и содержание </w:t>
            </w: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резерва средств индивидуальной защиты органов дыхания</w:t>
            </w:r>
            <w:proofErr w:type="gramEnd"/>
            <w:r w:rsidRPr="00AC7F27">
              <w:rPr>
                <w:rFonts w:ascii="PT Astra Serif" w:hAnsi="PT Astra Serif"/>
                <w:sz w:val="28"/>
                <w:szCs w:val="28"/>
              </w:rPr>
              <w:t>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обеспечена реализация функций и полномочий областного государственного учреждения "Служба спасения Саратовской области";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обеспечена реализация функций и полномочий областного государственного учреждения дополнительного профессионального образования "Учебно-методический центр по гражданской обороне, чрезвычайным ситуациям и пожарной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безопасности Саратовской области";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обеспечено функционирование региональной системы государственного учета и контроля радиоактивных веществ и радиоактивных отходов на территории области;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определены техническое состояние и готовность защитных сооружений гражданской обороны (убежищ) к использованию медицинскими организациями;</w:t>
            </w:r>
            <w:proofErr w:type="gramEnd"/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приобретены лекарственные средства, входящие в комплект индивидуальный медицинский гражданской защиты и индивидуального противохимического пакета;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оказаны услуги (выполнены работы) государственным бюджетным учреждением "Областная инженерная защита" в сфере жилищно-коммунального хозяйства;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оказана поддержка государственному унитарному предприятию Саратовской области "</w:t>
            </w:r>
            <w:proofErr w:type="spellStart"/>
            <w:r w:rsidRPr="00AC7F27">
              <w:rPr>
                <w:rFonts w:ascii="PT Astra Serif" w:hAnsi="PT Astra Serif"/>
                <w:sz w:val="28"/>
                <w:szCs w:val="28"/>
              </w:rPr>
              <w:t>Облводоресурс</w:t>
            </w:r>
            <w:proofErr w:type="spellEnd"/>
            <w:r w:rsidRPr="00AC7F27">
              <w:rPr>
                <w:rFonts w:ascii="PT Astra Serif" w:hAnsi="PT Astra Serif"/>
                <w:sz w:val="28"/>
                <w:szCs w:val="28"/>
              </w:rPr>
              <w:t>"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оказана поддержка государственному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унитарному предприятию Саратовской области "</w:t>
            </w:r>
            <w:proofErr w:type="spellStart"/>
            <w:r w:rsidRPr="00AC7F27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  <w:r w:rsidRPr="00AC7F27">
              <w:rPr>
                <w:rFonts w:ascii="PT Astra Serif" w:hAnsi="PT Astra Serif"/>
                <w:sz w:val="28"/>
                <w:szCs w:val="28"/>
              </w:rPr>
              <w:t xml:space="preserve"> Водоканал"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созданы, восстановлены и приведены в нормативное состояние защитные сооружения гражданской обороны, закрепленные на праве оперативного управления за учреждениями, подведомственными управлению региональной безопасности Правительства области;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созданы, восстановлены и приведены в нормативное состояние защитные сооружения гражданской обороны, закрепленные на праве оперативного управления за учреждениями, подведомственными министерству здравоохранения области</w:t>
            </w:r>
          </w:p>
        </w:tc>
        <w:tc>
          <w:tcPr>
            <w:tcW w:w="3458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количество погибших, травмированных и пострадавших при чрезвычайных ситуациях и происшествиях на водных объектах;</w:t>
            </w:r>
          </w:p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количество населения, спасенного при чрезвычайных ситуациях и происшествиях на водных объектах</w:t>
            </w:r>
          </w:p>
        </w:tc>
      </w:tr>
      <w:tr w:rsidR="00AC7F27" w:rsidRPr="00AC7F27">
        <w:tblPrEx>
          <w:tblBorders>
            <w:insideH w:val="nil"/>
          </w:tblBorders>
        </w:tblPrEx>
        <w:tc>
          <w:tcPr>
            <w:tcW w:w="13559" w:type="dxa"/>
            <w:gridSpan w:val="6"/>
            <w:tcBorders>
              <w:top w:val="nil"/>
            </w:tcBorders>
          </w:tcPr>
          <w:p w:rsidR="00AC7F27" w:rsidRPr="00AC7F27" w:rsidRDefault="00AC7F2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1.1.1 в ред. </w:t>
            </w:r>
            <w:hyperlink r:id="rId82">
              <w:r w:rsidRPr="00AC7F27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13.05.2026</w:t>
            </w:r>
            <w:proofErr w:type="gramEnd"/>
          </w:p>
          <w:p w:rsidR="00AC7F27" w:rsidRPr="00AC7F27" w:rsidRDefault="00AC7F2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N 386-П)</w:t>
            </w:r>
            <w:proofErr w:type="gramEnd"/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Подпрограмма 2 "Пожарная безопасность"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пожарной безопасности, в том числе объектов здравоохранения, социальной и культурной сферы"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844" w:type="dxa"/>
            <w:gridSpan w:val="2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C7F27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региональной безопасности Правительства области</w:t>
            </w:r>
          </w:p>
        </w:tc>
        <w:tc>
          <w:tcPr>
            <w:tcW w:w="6921" w:type="dxa"/>
            <w:gridSpan w:val="3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3288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Обеспечение эффективной деятельности и управления в области обеспечения пожарной безопасности</w:t>
            </w:r>
          </w:p>
        </w:tc>
        <w:tc>
          <w:tcPr>
            <w:tcW w:w="6019" w:type="dxa"/>
            <w:gridSpan w:val="3"/>
          </w:tcPr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обеспечена реализация функций и полномочий областного государственного учреждения "Противопожарная служба Саратовской области";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приобретена техника для тушения пожаров;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обеспечена пожарная безопасность объектов, подведомственных министерству труда и социальной защиты области;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обеспечена пожарная безопасность объектов социальной сферы с массовым пребыванием людей;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обеспечена пожарная безопасность объектов, подведомственных министерству культуры области</w:t>
            </w:r>
          </w:p>
        </w:tc>
        <w:tc>
          <w:tcPr>
            <w:tcW w:w="3458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количество погибших в результате пожаров людей;</w:t>
            </w:r>
          </w:p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обеспечение пожарной безопасности объектов здравоохранения, социальной и культурной сферы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Подпрограмма 3 "Построение и развитие аппаратно-программного комплекса "Безопасный город" на территории Саратовской области"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"Повышение уровня оповещения населения и реагирования экстренных оперативных служб при чрезвычайных ситуациях и происшествиях"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844" w:type="dxa"/>
            <w:gridSpan w:val="2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C7F27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региональной безопасности Правительства области</w:t>
            </w:r>
          </w:p>
        </w:tc>
        <w:tc>
          <w:tcPr>
            <w:tcW w:w="6921" w:type="dxa"/>
            <w:gridSpan w:val="3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3288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Повышение уровня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оповещения населения о чрезвычайных ситуациях и происшествиях</w:t>
            </w:r>
          </w:p>
        </w:tc>
        <w:tc>
          <w:tcPr>
            <w:tcW w:w="6019" w:type="dxa"/>
            <w:gridSpan w:val="3"/>
          </w:tcPr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эксплуатационно-техническое обслуживание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действующей региональной системы оповещения;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обеспечено функционирование системы вызова экстренных оперативных служб по единому номеру "112" (системы 112) в Саратовской области</w:t>
            </w:r>
          </w:p>
        </w:tc>
        <w:tc>
          <w:tcPr>
            <w:tcW w:w="3458" w:type="dxa"/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охват населения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 автоматизированной системой оповещения о чрезвычайных ситуациях природного и техногенного характера;</w:t>
            </w:r>
          </w:p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охват населения Саратовской области системой 112</w:t>
            </w:r>
          </w:p>
        </w:tc>
      </w:tr>
      <w:tr w:rsidR="00AC7F27" w:rsidRPr="00AC7F27">
        <w:tc>
          <w:tcPr>
            <w:tcW w:w="794" w:type="dxa"/>
          </w:tcPr>
          <w:p w:rsidR="00AC7F27" w:rsidRPr="00AC7F27" w:rsidRDefault="00AC7F27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12765" w:type="dxa"/>
            <w:gridSpan w:val="5"/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Региональный проект "Построение функционального блока "Общественная безопасность и правопорядок" аппаратно-программного комплекса "Безопасный город" Саратовской области" (Исаев Михаил Александрович - куратор)</w:t>
            </w:r>
          </w:p>
        </w:tc>
      </w:tr>
      <w:tr w:rsidR="00AC7F27" w:rsidRPr="00AC7F27">
        <w:tblPrEx>
          <w:tblBorders>
            <w:insideH w:val="nil"/>
          </w:tblBorders>
        </w:tblPrEx>
        <w:tc>
          <w:tcPr>
            <w:tcW w:w="794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844" w:type="dxa"/>
            <w:gridSpan w:val="2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C7F27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региональной безопасности Правительства области</w:t>
            </w:r>
          </w:p>
        </w:tc>
        <w:tc>
          <w:tcPr>
            <w:tcW w:w="6921" w:type="dxa"/>
            <w:gridSpan w:val="3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2026 - 2027 годы</w:t>
            </w:r>
          </w:p>
        </w:tc>
      </w:tr>
      <w:tr w:rsidR="00AC7F27" w:rsidRPr="00AC7F27">
        <w:tblPrEx>
          <w:tblBorders>
            <w:insideH w:val="nil"/>
          </w:tblBorders>
        </w:tblPrEx>
        <w:tc>
          <w:tcPr>
            <w:tcW w:w="13559" w:type="dxa"/>
            <w:gridSpan w:val="6"/>
            <w:tcBorders>
              <w:top w:val="nil"/>
            </w:tcBorders>
          </w:tcPr>
          <w:p w:rsidR="00AC7F27" w:rsidRPr="00AC7F27" w:rsidRDefault="00AC7F2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(п. 3.2 в ред. </w:t>
            </w:r>
            <w:hyperlink r:id="rId83">
              <w:r w:rsidRPr="00AC7F27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18.06.2026 N 465-П)</w:t>
            </w:r>
          </w:p>
        </w:tc>
      </w:tr>
      <w:tr w:rsidR="00AC7F27" w:rsidRPr="00AC7F27">
        <w:tblPrEx>
          <w:tblBorders>
            <w:insideH w:val="nil"/>
          </w:tblBorders>
        </w:tblPrEx>
        <w:tc>
          <w:tcPr>
            <w:tcW w:w="794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3.2.1.</w:t>
            </w:r>
          </w:p>
        </w:tc>
        <w:tc>
          <w:tcPr>
            <w:tcW w:w="3288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Создание государственной информационной системы "Общественная безопасность и правопорядок" аппаратно-программного комплекса "Безопасный город" Саратовской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6019" w:type="dxa"/>
            <w:gridSpan w:val="3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разработана проектно-сметная документация функционального блока "Общественная безопасность и правопорядок" аппаратно-программного комплекса "Безопасный город" Саратовской области;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создана программно-аппаратная инфраструктура;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проведена аттестация и введена в эксплуатацию государственная информационная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система "Общественная безопасность и правопорядок" аппаратно-программного комплекса "Безопасный город" Саратовской области;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обеспечены условия для размещения центра обработки данных;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функционирует аттестованная сеть защищенных каналов связи;</w:t>
            </w:r>
          </w:p>
          <w:p w:rsidR="00AC7F27" w:rsidRPr="00AC7F27" w:rsidRDefault="00AC7F27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>предоставлены иные межбюджетные трансферты муниципальным образованиям области на создание телекоммуникационной инфраструктуры и комплекса периферийных устройств, предназначенных для обеспечения процессов передачи информации в государственную информационную систему "Общественная безопасность и правопорядок" аппаратно-программного комплекса "Безопасный город" Саратовской области</w:t>
            </w:r>
          </w:p>
        </w:tc>
        <w:tc>
          <w:tcPr>
            <w:tcW w:w="3458" w:type="dxa"/>
            <w:tcBorders>
              <w:bottom w:val="nil"/>
            </w:tcBorders>
          </w:tcPr>
          <w:p w:rsidR="00AC7F27" w:rsidRPr="00AC7F27" w:rsidRDefault="00AC7F2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количество видеопотоков, обеспечивающих возможность приема, распределенной обработки и передачи данных, интегрированных в государственную информационную систему "Общественная </w:t>
            </w:r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>безопасность и правопорядок" аппаратно-программного комплекса "Безопасный город" Саратовской области</w:t>
            </w:r>
          </w:p>
        </w:tc>
      </w:tr>
      <w:tr w:rsidR="00AC7F27" w:rsidRPr="00AC7F27">
        <w:tblPrEx>
          <w:tblBorders>
            <w:insideH w:val="nil"/>
          </w:tblBorders>
        </w:tblPrEx>
        <w:tc>
          <w:tcPr>
            <w:tcW w:w="13559" w:type="dxa"/>
            <w:gridSpan w:val="6"/>
            <w:tcBorders>
              <w:top w:val="nil"/>
            </w:tcBorders>
          </w:tcPr>
          <w:p w:rsidR="00AC7F27" w:rsidRPr="00AC7F27" w:rsidRDefault="00AC7F2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C7F27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24.02.2026 </w:t>
            </w:r>
            <w:hyperlink r:id="rId84">
              <w:r w:rsidRPr="00AC7F27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AC7F27" w:rsidRPr="00AC7F27" w:rsidRDefault="00AC7F2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C7F27">
              <w:rPr>
                <w:rFonts w:ascii="PT Astra Serif" w:hAnsi="PT Astra Serif"/>
                <w:sz w:val="28"/>
                <w:szCs w:val="28"/>
              </w:rPr>
              <w:t xml:space="preserve">от 18.06.2026 </w:t>
            </w:r>
            <w:hyperlink r:id="rId85">
              <w:r w:rsidRPr="00AC7F27">
                <w:rPr>
                  <w:rFonts w:ascii="PT Astra Serif" w:hAnsi="PT Astra Serif"/>
                  <w:sz w:val="28"/>
                  <w:szCs w:val="28"/>
                </w:rPr>
                <w:t>N 465-П</w:t>
              </w:r>
            </w:hyperlink>
            <w:r w:rsidRPr="00AC7F27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</w:tbl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C7F27" w:rsidRPr="00AC7F27" w:rsidRDefault="00AC7F2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AC7F27" w:rsidRDefault="00AC7F27">
      <w:pPr>
        <w:rPr>
          <w:rFonts w:ascii="PT Astra Serif" w:hAnsi="PT Astra Serif"/>
          <w:sz w:val="28"/>
          <w:szCs w:val="28"/>
        </w:rPr>
      </w:pPr>
    </w:p>
    <w:sectPr w:rsidR="005A1A7E" w:rsidRPr="00AC7F2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F27"/>
    <w:rsid w:val="000C2229"/>
    <w:rsid w:val="00172250"/>
    <w:rsid w:val="00887F15"/>
    <w:rsid w:val="00A70053"/>
    <w:rsid w:val="00AC7F27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C7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7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F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C7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7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F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94231&amp;dst=100005" TargetMode="External"/><Relationship Id="rId18" Type="http://schemas.openxmlformats.org/officeDocument/2006/relationships/hyperlink" Target="https://login.consultant.ru/link/?req=doc&amp;base=RLAW358&amp;n=115917&amp;dst=100005" TargetMode="External"/><Relationship Id="rId26" Type="http://schemas.openxmlformats.org/officeDocument/2006/relationships/hyperlink" Target="https://login.consultant.ru/link/?req=doc&amp;base=RLAW358&amp;n=145251&amp;dst=100005" TargetMode="External"/><Relationship Id="rId39" Type="http://schemas.openxmlformats.org/officeDocument/2006/relationships/hyperlink" Target="https://login.consultant.ru/link/?req=doc&amp;base=RLAW358&amp;n=194589&amp;dst=100005" TargetMode="External"/><Relationship Id="rId21" Type="http://schemas.openxmlformats.org/officeDocument/2006/relationships/hyperlink" Target="https://login.consultant.ru/link/?req=doc&amp;base=RLAW358&amp;n=124137&amp;dst=100005" TargetMode="External"/><Relationship Id="rId34" Type="http://schemas.openxmlformats.org/officeDocument/2006/relationships/hyperlink" Target="https://login.consultant.ru/link/?req=doc&amp;base=RLAW358&amp;n=169866&amp;dst=100005" TargetMode="External"/><Relationship Id="rId42" Type="http://schemas.openxmlformats.org/officeDocument/2006/relationships/hyperlink" Target="https://login.consultant.ru/link/?req=doc&amp;base=RLAW358&amp;n=198001&amp;dst=100005" TargetMode="External"/><Relationship Id="rId47" Type="http://schemas.openxmlformats.org/officeDocument/2006/relationships/hyperlink" Target="https://login.consultant.ru/link/?req=doc&amp;base=RLAW358&amp;n=163694&amp;dst=100005" TargetMode="External"/><Relationship Id="rId50" Type="http://schemas.openxmlformats.org/officeDocument/2006/relationships/hyperlink" Target="https://login.consultant.ru/link/?req=doc&amp;base=RLAW358&amp;n=169866&amp;dst=100005" TargetMode="External"/><Relationship Id="rId55" Type="http://schemas.openxmlformats.org/officeDocument/2006/relationships/hyperlink" Target="https://login.consultant.ru/link/?req=doc&amp;base=RLAW358&amp;n=194589&amp;dst=100005" TargetMode="External"/><Relationship Id="rId63" Type="http://schemas.openxmlformats.org/officeDocument/2006/relationships/hyperlink" Target="https://login.consultant.ru/link/?req=doc&amp;base=LAW&amp;n=287639&amp;dst=100013" TargetMode="External"/><Relationship Id="rId68" Type="http://schemas.openxmlformats.org/officeDocument/2006/relationships/hyperlink" Target="https://login.consultant.ru/link/?req=doc&amp;base=RLAW358&amp;n=189456&amp;dst=100014" TargetMode="External"/><Relationship Id="rId76" Type="http://schemas.openxmlformats.org/officeDocument/2006/relationships/hyperlink" Target="https://login.consultant.ru/link/?req=doc&amp;base=RLAW358&amp;n=193395&amp;dst=100011" TargetMode="External"/><Relationship Id="rId84" Type="http://schemas.openxmlformats.org/officeDocument/2006/relationships/hyperlink" Target="https://login.consultant.ru/link/?req=doc&amp;base=RLAW358&amp;n=195679&amp;dst=100021" TargetMode="External"/><Relationship Id="rId7" Type="http://schemas.openxmlformats.org/officeDocument/2006/relationships/hyperlink" Target="https://login.consultant.ru/link/?req=doc&amp;base=RLAW358&amp;n=76960&amp;dst=100005" TargetMode="External"/><Relationship Id="rId71" Type="http://schemas.openxmlformats.org/officeDocument/2006/relationships/hyperlink" Target="https://login.consultant.ru/link/?req=doc&amp;base=RLAW358&amp;n=169703&amp;dst=1000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1756&amp;dst=100005" TargetMode="External"/><Relationship Id="rId29" Type="http://schemas.openxmlformats.org/officeDocument/2006/relationships/hyperlink" Target="https://login.consultant.ru/link/?req=doc&amp;base=RLAW358&amp;n=154468&amp;dst=100005" TargetMode="External"/><Relationship Id="rId11" Type="http://schemas.openxmlformats.org/officeDocument/2006/relationships/hyperlink" Target="https://login.consultant.ru/link/?req=doc&amp;base=RLAW358&amp;n=90569&amp;dst=100005" TargetMode="External"/><Relationship Id="rId24" Type="http://schemas.openxmlformats.org/officeDocument/2006/relationships/hyperlink" Target="https://login.consultant.ru/link/?req=doc&amp;base=RLAW358&amp;n=137879&amp;dst=100005" TargetMode="External"/><Relationship Id="rId32" Type="http://schemas.openxmlformats.org/officeDocument/2006/relationships/hyperlink" Target="https://login.consultant.ru/link/?req=doc&amp;base=RLAW358&amp;n=166219&amp;dst=100005" TargetMode="External"/><Relationship Id="rId37" Type="http://schemas.openxmlformats.org/officeDocument/2006/relationships/hyperlink" Target="https://login.consultant.ru/link/?req=doc&amp;base=RLAW358&amp;n=189456&amp;dst=100005" TargetMode="External"/><Relationship Id="rId40" Type="http://schemas.openxmlformats.org/officeDocument/2006/relationships/hyperlink" Target="https://login.consultant.ru/link/?req=doc&amp;base=RLAW358&amp;n=195679&amp;dst=100005" TargetMode="External"/><Relationship Id="rId45" Type="http://schemas.openxmlformats.org/officeDocument/2006/relationships/hyperlink" Target="https://login.consultant.ru/link/?req=doc&amp;base=RLAW358&amp;n=181534&amp;dst=100475" TargetMode="External"/><Relationship Id="rId53" Type="http://schemas.openxmlformats.org/officeDocument/2006/relationships/hyperlink" Target="https://login.consultant.ru/link/?req=doc&amp;base=RLAW358&amp;n=189456&amp;dst=100005" TargetMode="External"/><Relationship Id="rId58" Type="http://schemas.openxmlformats.org/officeDocument/2006/relationships/hyperlink" Target="https://login.consultant.ru/link/?req=doc&amp;base=RLAW358&amp;n=198001&amp;dst=100005" TargetMode="External"/><Relationship Id="rId66" Type="http://schemas.openxmlformats.org/officeDocument/2006/relationships/hyperlink" Target="https://login.consultant.ru/link/?req=doc&amp;base=RLAW358&amp;n=189456&amp;dst=100012" TargetMode="External"/><Relationship Id="rId74" Type="http://schemas.openxmlformats.org/officeDocument/2006/relationships/hyperlink" Target="https://login.consultant.ru/link/?req=doc&amp;base=RLAW358&amp;n=181667&amp;dst=100012" TargetMode="External"/><Relationship Id="rId79" Type="http://schemas.openxmlformats.org/officeDocument/2006/relationships/hyperlink" Target="https://login.consultant.ru/link/?req=doc&amp;base=RLAW358&amp;n=196669&amp;dst=100006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73842&amp;dst=100005" TargetMode="External"/><Relationship Id="rId61" Type="http://schemas.openxmlformats.org/officeDocument/2006/relationships/hyperlink" Target="https://login.consultant.ru/link/?req=doc&amp;base=LAW&amp;n=209270&amp;dst=100013" TargetMode="External"/><Relationship Id="rId82" Type="http://schemas.openxmlformats.org/officeDocument/2006/relationships/hyperlink" Target="https://login.consultant.ru/link/?req=doc&amp;base=RLAW358&amp;n=198001&amp;dst=100011" TargetMode="External"/><Relationship Id="rId19" Type="http://schemas.openxmlformats.org/officeDocument/2006/relationships/hyperlink" Target="https://login.consultant.ru/link/?req=doc&amp;base=RLAW358&amp;n=117523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8703&amp;dst=100005" TargetMode="External"/><Relationship Id="rId14" Type="http://schemas.openxmlformats.org/officeDocument/2006/relationships/hyperlink" Target="https://login.consultant.ru/link/?req=doc&amp;base=RLAW358&amp;n=100965&amp;dst=100005" TargetMode="External"/><Relationship Id="rId22" Type="http://schemas.openxmlformats.org/officeDocument/2006/relationships/hyperlink" Target="https://login.consultant.ru/link/?req=doc&amp;base=RLAW358&amp;n=126489&amp;dst=100005" TargetMode="External"/><Relationship Id="rId27" Type="http://schemas.openxmlformats.org/officeDocument/2006/relationships/hyperlink" Target="https://login.consultant.ru/link/?req=doc&amp;base=RLAW358&amp;n=146168&amp;dst=100005" TargetMode="External"/><Relationship Id="rId30" Type="http://schemas.openxmlformats.org/officeDocument/2006/relationships/hyperlink" Target="https://login.consultant.ru/link/?req=doc&amp;base=RLAW358&amp;n=158980&amp;dst=100005" TargetMode="External"/><Relationship Id="rId35" Type="http://schemas.openxmlformats.org/officeDocument/2006/relationships/hyperlink" Target="https://login.consultant.ru/link/?req=doc&amp;base=RLAW358&amp;n=180607&amp;dst=100005" TargetMode="External"/><Relationship Id="rId43" Type="http://schemas.openxmlformats.org/officeDocument/2006/relationships/hyperlink" Target="https://login.consultant.ru/link/?req=doc&amp;base=RLAW358&amp;n=199145&amp;dst=100005" TargetMode="External"/><Relationship Id="rId48" Type="http://schemas.openxmlformats.org/officeDocument/2006/relationships/hyperlink" Target="https://login.consultant.ru/link/?req=doc&amp;base=RLAW358&amp;n=166219&amp;dst=100005" TargetMode="External"/><Relationship Id="rId56" Type="http://schemas.openxmlformats.org/officeDocument/2006/relationships/hyperlink" Target="https://login.consultant.ru/link/?req=doc&amp;base=RLAW358&amp;n=195679&amp;dst=100005" TargetMode="External"/><Relationship Id="rId64" Type="http://schemas.openxmlformats.org/officeDocument/2006/relationships/hyperlink" Target="https://login.consultant.ru/link/?req=doc&amp;base=LAW&amp;n=335627&amp;dst=100013" TargetMode="External"/><Relationship Id="rId69" Type="http://schemas.openxmlformats.org/officeDocument/2006/relationships/hyperlink" Target="https://login.consultant.ru/link/?req=doc&amp;base=RLAW358&amp;n=195679&amp;dst=100012" TargetMode="External"/><Relationship Id="rId77" Type="http://schemas.openxmlformats.org/officeDocument/2006/relationships/hyperlink" Target="https://login.consultant.ru/link/?req=doc&amp;base=RLAW358&amp;n=194589&amp;dst=100014" TargetMode="External"/><Relationship Id="rId8" Type="http://schemas.openxmlformats.org/officeDocument/2006/relationships/hyperlink" Target="https://login.consultant.ru/link/?req=doc&amp;base=RLAW358&amp;n=78430&amp;dst=100005" TargetMode="External"/><Relationship Id="rId51" Type="http://schemas.openxmlformats.org/officeDocument/2006/relationships/hyperlink" Target="https://login.consultant.ru/link/?req=doc&amp;base=RLAW358&amp;n=180607&amp;dst=100005" TargetMode="External"/><Relationship Id="rId72" Type="http://schemas.openxmlformats.org/officeDocument/2006/relationships/hyperlink" Target="https://login.consultant.ru/link/?req=doc&amp;base=RLAW358&amp;n=181667&amp;dst=100011" TargetMode="External"/><Relationship Id="rId80" Type="http://schemas.openxmlformats.org/officeDocument/2006/relationships/hyperlink" Target="https://login.consultant.ru/link/?req=doc&amp;base=RLAW358&amp;n=198001&amp;dst=100011" TargetMode="External"/><Relationship Id="rId85" Type="http://schemas.openxmlformats.org/officeDocument/2006/relationships/hyperlink" Target="https://login.consultant.ru/link/?req=doc&amp;base=RLAW358&amp;n=199145&amp;dst=1000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91665&amp;dst=100005" TargetMode="External"/><Relationship Id="rId17" Type="http://schemas.openxmlformats.org/officeDocument/2006/relationships/hyperlink" Target="https://login.consultant.ru/link/?req=doc&amp;base=RLAW358&amp;n=114061&amp;dst=100005" TargetMode="External"/><Relationship Id="rId25" Type="http://schemas.openxmlformats.org/officeDocument/2006/relationships/hyperlink" Target="https://login.consultant.ru/link/?req=doc&amp;base=RLAW358&amp;n=142215&amp;dst=100005" TargetMode="External"/><Relationship Id="rId33" Type="http://schemas.openxmlformats.org/officeDocument/2006/relationships/hyperlink" Target="https://login.consultant.ru/link/?req=doc&amp;base=RLAW358&amp;n=169703&amp;dst=100005" TargetMode="External"/><Relationship Id="rId38" Type="http://schemas.openxmlformats.org/officeDocument/2006/relationships/hyperlink" Target="https://login.consultant.ru/link/?req=doc&amp;base=RLAW358&amp;n=193395&amp;dst=100005" TargetMode="External"/><Relationship Id="rId46" Type="http://schemas.openxmlformats.org/officeDocument/2006/relationships/hyperlink" Target="https://login.consultant.ru/link/?req=doc&amp;base=RLAW358&amp;n=117472&amp;dst=100007" TargetMode="External"/><Relationship Id="rId59" Type="http://schemas.openxmlformats.org/officeDocument/2006/relationships/hyperlink" Target="https://login.consultant.ru/link/?req=doc&amp;base=RLAW358&amp;n=199145&amp;dst=100005" TargetMode="External"/><Relationship Id="rId67" Type="http://schemas.openxmlformats.org/officeDocument/2006/relationships/hyperlink" Target="https://login.consultant.ru/link/?req=doc&amp;base=RLAW358&amp;n=169703&amp;dst=100012" TargetMode="External"/><Relationship Id="rId20" Type="http://schemas.openxmlformats.org/officeDocument/2006/relationships/hyperlink" Target="https://login.consultant.ru/link/?req=doc&amp;base=RLAW358&amp;n=117472&amp;dst=100005" TargetMode="External"/><Relationship Id="rId41" Type="http://schemas.openxmlformats.org/officeDocument/2006/relationships/hyperlink" Target="https://login.consultant.ru/link/?req=doc&amp;base=RLAW358&amp;n=196669&amp;dst=100005" TargetMode="External"/><Relationship Id="rId54" Type="http://schemas.openxmlformats.org/officeDocument/2006/relationships/hyperlink" Target="https://login.consultant.ru/link/?req=doc&amp;base=RLAW358&amp;n=193395&amp;dst=100005" TargetMode="External"/><Relationship Id="rId62" Type="http://schemas.openxmlformats.org/officeDocument/2006/relationships/hyperlink" Target="https://login.consultant.ru/link/?req=doc&amp;base=LAW&amp;n=286888&amp;dst=100013" TargetMode="External"/><Relationship Id="rId70" Type="http://schemas.openxmlformats.org/officeDocument/2006/relationships/hyperlink" Target="https://login.consultant.ru/link/?req=doc&amp;base=RLAW358&amp;n=169703&amp;dst=100014" TargetMode="External"/><Relationship Id="rId75" Type="http://schemas.openxmlformats.org/officeDocument/2006/relationships/hyperlink" Target="https://login.consultant.ru/link/?req=doc&amp;base=RLAW358&amp;n=181667&amp;dst=100012" TargetMode="External"/><Relationship Id="rId83" Type="http://schemas.openxmlformats.org/officeDocument/2006/relationships/hyperlink" Target="https://login.consultant.ru/link/?req=doc&amp;base=RLAW358&amp;n=199145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5520&amp;dst=100005" TargetMode="External"/><Relationship Id="rId15" Type="http://schemas.openxmlformats.org/officeDocument/2006/relationships/hyperlink" Target="https://login.consultant.ru/link/?req=doc&amp;base=RLAW358&amp;n=108924&amp;dst=100005" TargetMode="External"/><Relationship Id="rId23" Type="http://schemas.openxmlformats.org/officeDocument/2006/relationships/hyperlink" Target="https://login.consultant.ru/link/?req=doc&amp;base=RLAW358&amp;n=136225&amp;dst=100005" TargetMode="External"/><Relationship Id="rId28" Type="http://schemas.openxmlformats.org/officeDocument/2006/relationships/hyperlink" Target="https://login.consultant.ru/link/?req=doc&amp;base=RLAW358&amp;n=151999&amp;dst=100005" TargetMode="External"/><Relationship Id="rId36" Type="http://schemas.openxmlformats.org/officeDocument/2006/relationships/hyperlink" Target="https://login.consultant.ru/link/?req=doc&amp;base=RLAW358&amp;n=181667&amp;dst=100005" TargetMode="External"/><Relationship Id="rId49" Type="http://schemas.openxmlformats.org/officeDocument/2006/relationships/hyperlink" Target="https://login.consultant.ru/link/?req=doc&amp;base=RLAW358&amp;n=169703&amp;dst=100005" TargetMode="External"/><Relationship Id="rId57" Type="http://schemas.openxmlformats.org/officeDocument/2006/relationships/hyperlink" Target="https://login.consultant.ru/link/?req=doc&amp;base=RLAW358&amp;n=196669&amp;dst=100005" TargetMode="External"/><Relationship Id="rId10" Type="http://schemas.openxmlformats.org/officeDocument/2006/relationships/hyperlink" Target="https://login.consultant.ru/link/?req=doc&amp;base=RLAW358&amp;n=83144&amp;dst=100005" TargetMode="External"/><Relationship Id="rId31" Type="http://schemas.openxmlformats.org/officeDocument/2006/relationships/hyperlink" Target="https://login.consultant.ru/link/?req=doc&amp;base=RLAW358&amp;n=163694&amp;dst=100005" TargetMode="External"/><Relationship Id="rId44" Type="http://schemas.openxmlformats.org/officeDocument/2006/relationships/hyperlink" Target="https://login.consultant.ru/link/?req=doc&amp;base=RLAW358&amp;n=184182&amp;dst=100400" TargetMode="External"/><Relationship Id="rId52" Type="http://schemas.openxmlformats.org/officeDocument/2006/relationships/hyperlink" Target="https://login.consultant.ru/link/?req=doc&amp;base=RLAW358&amp;n=181667&amp;dst=100005" TargetMode="External"/><Relationship Id="rId60" Type="http://schemas.openxmlformats.org/officeDocument/2006/relationships/hyperlink" Target="https://login.consultant.ru/link/?req=doc&amp;base=LAW&amp;n=322091&amp;dst=100007" TargetMode="External"/><Relationship Id="rId65" Type="http://schemas.openxmlformats.org/officeDocument/2006/relationships/hyperlink" Target="https://login.consultant.ru/link/?req=doc&amp;base=LAW&amp;n=389271&amp;dst=100013" TargetMode="External"/><Relationship Id="rId73" Type="http://schemas.openxmlformats.org/officeDocument/2006/relationships/hyperlink" Target="https://login.consultant.ru/link/?req=doc&amp;base=RLAW358&amp;n=181667&amp;dst=100012" TargetMode="External"/><Relationship Id="rId78" Type="http://schemas.openxmlformats.org/officeDocument/2006/relationships/hyperlink" Target="https://login.consultant.ru/link/?req=doc&amp;base=RLAW358&amp;n=195679&amp;dst=100014" TargetMode="External"/><Relationship Id="rId81" Type="http://schemas.openxmlformats.org/officeDocument/2006/relationships/hyperlink" Target="https://login.consultant.ru/link/?req=doc&amp;base=RLAW358&amp;n=199145&amp;dst=100006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5235</Words>
  <Characters>29840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2026-08-04T11:31:00Z</dcterms:created>
  <dcterms:modified xsi:type="dcterms:W3CDTF">2026-08-04T11:32:00Z</dcterms:modified>
</cp:coreProperties>
</file>