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A53" w:rsidRPr="00145A53" w:rsidRDefault="00145A53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ПОСТАНОВЛЕНИЕ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от 20 ноября 2013 г. N 642-П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 ГОСУДАРСТВЕННОЙ ПРОГРАММЕ САРАТОВСКОЙ ОБЛАСТИ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13.05.2014 </w:t>
            </w:r>
            <w:hyperlink r:id="rId5">
              <w:r w:rsidRPr="00145A53">
                <w:rPr>
                  <w:rFonts w:ascii="PT Astra Serif" w:hAnsi="PT Astra Serif"/>
                  <w:sz w:val="28"/>
                  <w:szCs w:val="28"/>
                </w:rPr>
                <w:t>N 280-П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14.08.2014 </w:t>
            </w:r>
            <w:hyperlink r:id="rId6">
              <w:r w:rsidRPr="00145A53">
                <w:rPr>
                  <w:rFonts w:ascii="PT Astra Serif" w:hAnsi="PT Astra Serif"/>
                  <w:sz w:val="28"/>
                  <w:szCs w:val="28"/>
                </w:rPr>
                <w:t>N 455-П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15.12.2014 </w:t>
            </w:r>
            <w:hyperlink r:id="rId7">
              <w:r w:rsidRPr="00145A53">
                <w:rPr>
                  <w:rFonts w:ascii="PT Astra Serif" w:hAnsi="PT Astra Serif"/>
                  <w:sz w:val="28"/>
                  <w:szCs w:val="28"/>
                </w:rPr>
                <w:t>N 687-П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27.02.2015 </w:t>
            </w:r>
            <w:hyperlink r:id="rId8">
              <w:r w:rsidRPr="00145A53">
                <w:rPr>
                  <w:rFonts w:ascii="PT Astra Serif" w:hAnsi="PT Astra Serif"/>
                  <w:sz w:val="28"/>
                  <w:szCs w:val="28"/>
                </w:rPr>
                <w:t>N 82-П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01.07.2015 </w:t>
            </w:r>
            <w:hyperlink r:id="rId9">
              <w:r w:rsidRPr="00145A53">
                <w:rPr>
                  <w:rFonts w:ascii="PT Astra Serif" w:hAnsi="PT Astra Serif"/>
                  <w:sz w:val="28"/>
                  <w:szCs w:val="28"/>
                </w:rPr>
                <w:t>N 329-П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16.12.2015 </w:t>
            </w:r>
            <w:hyperlink r:id="rId10">
              <w:r w:rsidRPr="00145A53">
                <w:rPr>
                  <w:rFonts w:ascii="PT Astra Serif" w:hAnsi="PT Astra Serif"/>
                  <w:sz w:val="28"/>
                  <w:szCs w:val="28"/>
                </w:rPr>
                <w:t>N 624-П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30.12.2015 </w:t>
            </w:r>
            <w:hyperlink r:id="rId11">
              <w:r w:rsidRPr="00145A53">
                <w:rPr>
                  <w:rFonts w:ascii="PT Astra Serif" w:hAnsi="PT Astra Serif"/>
                  <w:sz w:val="28"/>
                  <w:szCs w:val="28"/>
                </w:rPr>
                <w:t>N 675-П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30.06.2016 </w:t>
            </w:r>
            <w:hyperlink r:id="rId12">
              <w:r w:rsidRPr="00145A53">
                <w:rPr>
                  <w:rFonts w:ascii="PT Astra Serif" w:hAnsi="PT Astra Serif"/>
                  <w:sz w:val="28"/>
                  <w:szCs w:val="28"/>
                </w:rPr>
                <w:t>N 322-П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07.09.2016 </w:t>
            </w:r>
            <w:hyperlink r:id="rId13">
              <w:r w:rsidRPr="00145A53">
                <w:rPr>
                  <w:rFonts w:ascii="PT Astra Serif" w:hAnsi="PT Astra Serif"/>
                  <w:sz w:val="28"/>
                  <w:szCs w:val="28"/>
                </w:rPr>
                <w:t>N 489-П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30.12.2016 </w:t>
            </w:r>
            <w:hyperlink r:id="rId14">
              <w:r w:rsidRPr="00145A53">
                <w:rPr>
                  <w:rFonts w:ascii="PT Astra Serif" w:hAnsi="PT Astra Serif"/>
                  <w:sz w:val="28"/>
                  <w:szCs w:val="28"/>
                </w:rPr>
                <w:t>N 746-П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03.02.2017 </w:t>
            </w:r>
            <w:hyperlink r:id="rId15">
              <w:r w:rsidRPr="00145A53">
                <w:rPr>
                  <w:rFonts w:ascii="PT Astra Serif" w:hAnsi="PT Astra Serif"/>
                  <w:sz w:val="28"/>
                  <w:szCs w:val="28"/>
                </w:rPr>
                <w:t>N 32-П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20.02.2017 </w:t>
            </w:r>
            <w:hyperlink r:id="rId16">
              <w:r w:rsidRPr="00145A53">
                <w:rPr>
                  <w:rFonts w:ascii="PT Astra Serif" w:hAnsi="PT Astra Serif"/>
                  <w:sz w:val="28"/>
                  <w:szCs w:val="28"/>
                </w:rPr>
                <w:t>N 69-П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19.04.2017 </w:t>
            </w:r>
            <w:hyperlink r:id="rId17">
              <w:r w:rsidRPr="00145A53">
                <w:rPr>
                  <w:rFonts w:ascii="PT Astra Serif" w:hAnsi="PT Astra Serif"/>
                  <w:sz w:val="28"/>
                  <w:szCs w:val="28"/>
                </w:rPr>
                <w:t>N 198-П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03.07.2017 </w:t>
            </w:r>
            <w:hyperlink r:id="rId18">
              <w:r w:rsidRPr="00145A53">
                <w:rPr>
                  <w:rFonts w:ascii="PT Astra Serif" w:hAnsi="PT Astra Serif"/>
                  <w:sz w:val="28"/>
                  <w:szCs w:val="28"/>
                </w:rPr>
                <w:t>N 332-П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02.11.2017 </w:t>
            </w:r>
            <w:hyperlink r:id="rId19">
              <w:r w:rsidRPr="00145A53">
                <w:rPr>
                  <w:rFonts w:ascii="PT Astra Serif" w:hAnsi="PT Astra Serif"/>
                  <w:sz w:val="28"/>
                  <w:szCs w:val="28"/>
                </w:rPr>
                <w:t>N 554-П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12.12.2017 </w:t>
            </w:r>
            <w:hyperlink r:id="rId20">
              <w:r w:rsidRPr="00145A53">
                <w:rPr>
                  <w:rFonts w:ascii="PT Astra Serif" w:hAnsi="PT Astra Serif"/>
                  <w:sz w:val="28"/>
                  <w:szCs w:val="28"/>
                </w:rPr>
                <w:t>N 644-П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13.12.2017 </w:t>
            </w:r>
            <w:hyperlink r:id="rId21">
              <w:r w:rsidRPr="00145A53">
                <w:rPr>
                  <w:rFonts w:ascii="PT Astra Serif" w:hAnsi="PT Astra Serif"/>
                  <w:sz w:val="28"/>
                  <w:szCs w:val="28"/>
                </w:rPr>
                <w:t>N 648-П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29.12.2017 </w:t>
            </w:r>
            <w:hyperlink r:id="rId22">
              <w:r w:rsidRPr="00145A53">
                <w:rPr>
                  <w:rFonts w:ascii="PT Astra Serif" w:hAnsi="PT Astra Serif"/>
                  <w:sz w:val="28"/>
                  <w:szCs w:val="28"/>
                </w:rPr>
                <w:t>N 716-П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29.12.2017 </w:t>
            </w:r>
            <w:hyperlink r:id="rId23">
              <w:r w:rsidRPr="00145A53">
                <w:rPr>
                  <w:rFonts w:ascii="PT Astra Serif" w:hAnsi="PT Astra Serif"/>
                  <w:sz w:val="28"/>
                  <w:szCs w:val="28"/>
                </w:rPr>
                <w:t>N 719-П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29.05.2018 </w:t>
            </w:r>
            <w:hyperlink r:id="rId24">
              <w:r w:rsidRPr="00145A53">
                <w:rPr>
                  <w:rFonts w:ascii="PT Astra Serif" w:hAnsi="PT Astra Serif"/>
                  <w:sz w:val="28"/>
                  <w:szCs w:val="28"/>
                </w:rPr>
                <w:t>N 283-П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15.08.2018 </w:t>
            </w:r>
            <w:hyperlink r:id="rId25">
              <w:r w:rsidRPr="00145A53">
                <w:rPr>
                  <w:rFonts w:ascii="PT Astra Serif" w:hAnsi="PT Astra Serif"/>
                  <w:sz w:val="28"/>
                  <w:szCs w:val="28"/>
                </w:rPr>
                <w:t>N 461-П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12.11.2018 </w:t>
            </w:r>
            <w:hyperlink r:id="rId26">
              <w:r w:rsidRPr="00145A53">
                <w:rPr>
                  <w:rFonts w:ascii="PT Astra Serif" w:hAnsi="PT Astra Serif"/>
                  <w:sz w:val="28"/>
                  <w:szCs w:val="28"/>
                </w:rPr>
                <w:t>N 618-П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29.12.2018 </w:t>
            </w:r>
            <w:hyperlink r:id="rId27">
              <w:r w:rsidRPr="00145A53">
                <w:rPr>
                  <w:rFonts w:ascii="PT Astra Serif" w:hAnsi="PT Astra Serif"/>
                  <w:sz w:val="28"/>
                  <w:szCs w:val="28"/>
                </w:rPr>
                <w:t>N 774-П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29.12.2018 </w:t>
            </w:r>
            <w:hyperlink r:id="rId28">
              <w:r w:rsidRPr="00145A53">
                <w:rPr>
                  <w:rFonts w:ascii="PT Astra Serif" w:hAnsi="PT Astra Serif"/>
                  <w:sz w:val="28"/>
                  <w:szCs w:val="28"/>
                </w:rPr>
                <w:t>N 775-П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11.02.2019 </w:t>
            </w:r>
            <w:hyperlink r:id="rId29">
              <w:r w:rsidRPr="00145A53">
                <w:rPr>
                  <w:rFonts w:ascii="PT Astra Serif" w:hAnsi="PT Astra Serif"/>
                  <w:sz w:val="28"/>
                  <w:szCs w:val="28"/>
                </w:rPr>
                <w:t>N 86-П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29.03.2019 </w:t>
            </w:r>
            <w:hyperlink r:id="rId30">
              <w:r w:rsidRPr="00145A53">
                <w:rPr>
                  <w:rFonts w:ascii="PT Astra Serif" w:hAnsi="PT Astra Serif"/>
                  <w:sz w:val="28"/>
                  <w:szCs w:val="28"/>
                </w:rPr>
                <w:t>N 194-П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29.05.2019 </w:t>
            </w:r>
            <w:hyperlink r:id="rId31">
              <w:r w:rsidRPr="00145A53">
                <w:rPr>
                  <w:rFonts w:ascii="PT Astra Serif" w:hAnsi="PT Astra Serif"/>
                  <w:sz w:val="28"/>
                  <w:szCs w:val="28"/>
                </w:rPr>
                <w:t>N 378-П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31.12.2019 </w:t>
            </w:r>
            <w:hyperlink r:id="rId32">
              <w:r w:rsidRPr="00145A53">
                <w:rPr>
                  <w:rFonts w:ascii="PT Astra Serif" w:hAnsi="PT Astra Serif"/>
                  <w:sz w:val="28"/>
                  <w:szCs w:val="28"/>
                </w:rPr>
                <w:t>N 968-П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31.12.2020 </w:t>
            </w:r>
            <w:hyperlink r:id="rId33">
              <w:r w:rsidRPr="00145A53">
                <w:rPr>
                  <w:rFonts w:ascii="PT Astra Serif" w:hAnsi="PT Astra Serif"/>
                  <w:sz w:val="28"/>
                  <w:szCs w:val="28"/>
                </w:rPr>
                <w:t>N 1082-П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24.05.2021 </w:t>
            </w:r>
            <w:hyperlink r:id="rId34">
              <w:r w:rsidRPr="00145A53">
                <w:rPr>
                  <w:rFonts w:ascii="PT Astra Serif" w:hAnsi="PT Astra Serif"/>
                  <w:sz w:val="28"/>
                  <w:szCs w:val="28"/>
                </w:rPr>
                <w:t>N 366-П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31.08.2021 </w:t>
            </w:r>
            <w:hyperlink r:id="rId35">
              <w:r w:rsidRPr="00145A53">
                <w:rPr>
                  <w:rFonts w:ascii="PT Astra Serif" w:hAnsi="PT Astra Serif"/>
                  <w:sz w:val="28"/>
                  <w:szCs w:val="28"/>
                </w:rPr>
                <w:t>N 722-П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15.10.2021 </w:t>
            </w:r>
            <w:hyperlink r:id="rId36">
              <w:r w:rsidRPr="00145A53">
                <w:rPr>
                  <w:rFonts w:ascii="PT Astra Serif" w:hAnsi="PT Astra Serif"/>
                  <w:sz w:val="28"/>
                  <w:szCs w:val="28"/>
                </w:rPr>
                <w:t>N 872-П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30.12.2021 </w:t>
            </w:r>
            <w:hyperlink r:id="rId37">
              <w:r w:rsidRPr="00145A53">
                <w:rPr>
                  <w:rFonts w:ascii="PT Astra Serif" w:hAnsi="PT Astra Serif"/>
                  <w:sz w:val="28"/>
                  <w:szCs w:val="28"/>
                </w:rPr>
                <w:t>N 1209-П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24.08.2022 </w:t>
            </w:r>
            <w:hyperlink r:id="rId38">
              <w:r w:rsidRPr="00145A53">
                <w:rPr>
                  <w:rFonts w:ascii="PT Astra Serif" w:hAnsi="PT Astra Serif"/>
                  <w:sz w:val="28"/>
                  <w:szCs w:val="28"/>
                </w:rPr>
                <w:t>N 795-П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01.09.2022 </w:t>
            </w:r>
            <w:hyperlink r:id="rId39">
              <w:r w:rsidRPr="00145A53">
                <w:rPr>
                  <w:rFonts w:ascii="PT Astra Serif" w:hAnsi="PT Astra Serif"/>
                  <w:sz w:val="28"/>
                  <w:szCs w:val="28"/>
                </w:rPr>
                <w:t>N 826-П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22.09.2022 </w:t>
            </w:r>
            <w:hyperlink r:id="rId40">
              <w:r w:rsidRPr="00145A53">
                <w:rPr>
                  <w:rFonts w:ascii="PT Astra Serif" w:hAnsi="PT Astra Serif"/>
                  <w:sz w:val="28"/>
                  <w:szCs w:val="28"/>
                </w:rPr>
                <w:t>N 918-П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30.12.2022 </w:t>
            </w:r>
            <w:hyperlink r:id="rId41">
              <w:r w:rsidRPr="00145A53">
                <w:rPr>
                  <w:rFonts w:ascii="PT Astra Serif" w:hAnsi="PT Astra Serif"/>
                  <w:sz w:val="28"/>
                  <w:szCs w:val="28"/>
                </w:rPr>
                <w:t>N 1343-П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17.03.2023 </w:t>
            </w:r>
            <w:hyperlink r:id="rId42">
              <w:r w:rsidRPr="00145A53">
                <w:rPr>
                  <w:rFonts w:ascii="PT Astra Serif" w:hAnsi="PT Astra Serif"/>
                  <w:sz w:val="28"/>
                  <w:szCs w:val="28"/>
                </w:rPr>
                <w:t>N 213-П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22.11.2023 </w:t>
            </w:r>
            <w:hyperlink r:id="rId43">
              <w:r w:rsidRPr="00145A53">
                <w:rPr>
                  <w:rFonts w:ascii="PT Astra Serif" w:hAnsi="PT Astra Serif"/>
                  <w:sz w:val="28"/>
                  <w:szCs w:val="28"/>
                </w:rPr>
                <w:t>N 1081-П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29.12.2023 </w:t>
            </w:r>
            <w:hyperlink r:id="rId44">
              <w:r w:rsidRPr="00145A53">
                <w:rPr>
                  <w:rFonts w:ascii="PT Astra Serif" w:hAnsi="PT Astra Serif"/>
                  <w:sz w:val="28"/>
                  <w:szCs w:val="28"/>
                </w:rPr>
                <w:t>N 1286-П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16.02.2024 </w:t>
            </w:r>
            <w:hyperlink r:id="rId45">
              <w:r w:rsidRPr="00145A53">
                <w:rPr>
                  <w:rFonts w:ascii="PT Astra Serif" w:hAnsi="PT Astra Serif"/>
                  <w:sz w:val="28"/>
                  <w:szCs w:val="28"/>
                </w:rPr>
                <w:t>N 97-П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27.12.2024 </w:t>
            </w:r>
            <w:hyperlink r:id="rId46">
              <w:r w:rsidRPr="00145A53">
                <w:rPr>
                  <w:rFonts w:ascii="PT Astra Serif" w:hAnsi="PT Astra Serif"/>
                  <w:sz w:val="28"/>
                  <w:szCs w:val="28"/>
                </w:rPr>
                <w:t>N 1107-П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47">
              <w:r w:rsidRPr="00145A53">
                <w:rPr>
                  <w:rFonts w:ascii="PT Astra Serif" w:hAnsi="PT Astra Serif"/>
                  <w:sz w:val="28"/>
                  <w:szCs w:val="28"/>
                </w:rPr>
                <w:t>N 1157-П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07.11.2025 </w:t>
            </w:r>
            <w:hyperlink r:id="rId48">
              <w:r w:rsidRPr="00145A53">
                <w:rPr>
                  <w:rFonts w:ascii="PT Astra Serif" w:hAnsi="PT Astra Serif"/>
                  <w:sz w:val="28"/>
                  <w:szCs w:val="28"/>
                </w:rPr>
                <w:t>N 828-П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49">
              <w:r w:rsidRPr="00145A53">
                <w:rPr>
                  <w:rFonts w:ascii="PT Astra Serif" w:hAnsi="PT Astra Serif"/>
                  <w:sz w:val="28"/>
                  <w:szCs w:val="28"/>
                </w:rPr>
                <w:t>N 1004-П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30.12.2025 </w:t>
            </w:r>
            <w:hyperlink r:id="rId50">
              <w:r w:rsidRPr="00145A53">
                <w:rPr>
                  <w:rFonts w:ascii="PT Astra Serif" w:hAnsi="PT Astra Serif"/>
                  <w:sz w:val="28"/>
                  <w:szCs w:val="28"/>
                </w:rPr>
                <w:t>N 1015-П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11.02.2026 </w:t>
            </w:r>
            <w:hyperlink r:id="rId51">
              <w:r w:rsidRPr="00145A53">
                <w:rPr>
                  <w:rFonts w:ascii="PT Astra Serif" w:hAnsi="PT Astra Serif"/>
                  <w:sz w:val="28"/>
                  <w:szCs w:val="28"/>
                </w:rPr>
                <w:t>N 79-П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29.04.2026 </w:t>
            </w:r>
            <w:hyperlink r:id="rId52">
              <w:r w:rsidRPr="00145A53">
                <w:rPr>
                  <w:rFonts w:ascii="PT Astra Serif" w:hAnsi="PT Astra Serif"/>
                  <w:sz w:val="28"/>
                  <w:szCs w:val="28"/>
                </w:rPr>
                <w:t>N 321-П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На основании </w:t>
      </w:r>
      <w:hyperlink r:id="rId53">
        <w:r w:rsidRPr="00145A53">
          <w:rPr>
            <w:rFonts w:ascii="PT Astra Serif" w:hAnsi="PT Astra Serif"/>
            <w:sz w:val="28"/>
            <w:szCs w:val="28"/>
          </w:rPr>
          <w:t>Устава</w:t>
        </w:r>
      </w:hyperlink>
      <w:r w:rsidRPr="00145A53">
        <w:rPr>
          <w:rFonts w:ascii="PT Astra Serif" w:hAnsi="PT Astra Serif"/>
          <w:sz w:val="28"/>
          <w:szCs w:val="28"/>
        </w:rPr>
        <w:t xml:space="preserve"> (Основного Закона) Саратовской области и </w:t>
      </w:r>
      <w:hyperlink r:id="rId54">
        <w:r w:rsidRPr="00145A53">
          <w:rPr>
            <w:rFonts w:ascii="PT Astra Serif" w:hAnsi="PT Astra Serif"/>
            <w:sz w:val="28"/>
            <w:szCs w:val="28"/>
          </w:rPr>
          <w:t>Закона</w:t>
        </w:r>
      </w:hyperlink>
      <w:r w:rsidRPr="00145A53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 Правительство Саратовской области постановляет: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1. Утвердить государственную </w:t>
      </w:r>
      <w:hyperlink w:anchor="P45">
        <w:r w:rsidRPr="00145A53">
          <w:rPr>
            <w:rFonts w:ascii="PT Astra Serif" w:hAnsi="PT Astra Serif"/>
            <w:sz w:val="28"/>
            <w:szCs w:val="28"/>
          </w:rPr>
          <w:t>программу</w:t>
        </w:r>
      </w:hyperlink>
      <w:r w:rsidRPr="00145A53">
        <w:rPr>
          <w:rFonts w:ascii="PT Astra Serif" w:hAnsi="PT Astra Serif"/>
          <w:sz w:val="28"/>
          <w:szCs w:val="28"/>
        </w:rPr>
        <w:t xml:space="preserve"> Саратовской области "Культура Саратовской области" согласно приложению.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55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29.12.2018 N 775-П)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2. Настоящее постановление вступает в силу со дня его подписания.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Губернатор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В.В.РАДАЕВ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145A53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постановлению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от 20 ноября 2013 г. N 642-П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45"/>
      <w:bookmarkEnd w:id="1"/>
      <w:r w:rsidRPr="00145A53">
        <w:rPr>
          <w:rFonts w:ascii="PT Astra Serif" w:hAnsi="PT Astra Serif"/>
          <w:sz w:val="28"/>
          <w:szCs w:val="28"/>
        </w:rPr>
        <w:t>ГОСУДАРСТВЕННАЯ ПРОГРАММА САРАТОВСКОЙ ОБЛАСТИ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22.11.2023 </w:t>
            </w:r>
            <w:hyperlink r:id="rId56">
              <w:r w:rsidRPr="00145A53">
                <w:rPr>
                  <w:rFonts w:ascii="PT Astra Serif" w:hAnsi="PT Astra Serif"/>
                  <w:sz w:val="28"/>
                  <w:szCs w:val="28"/>
                </w:rPr>
                <w:t>N 1081-П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29.12.2023 </w:t>
            </w:r>
            <w:hyperlink r:id="rId57">
              <w:r w:rsidRPr="00145A53">
                <w:rPr>
                  <w:rFonts w:ascii="PT Astra Serif" w:hAnsi="PT Astra Serif"/>
                  <w:sz w:val="28"/>
                  <w:szCs w:val="28"/>
                </w:rPr>
                <w:t>N 1286-П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16.02.2024 </w:t>
            </w:r>
            <w:hyperlink r:id="rId58">
              <w:r w:rsidRPr="00145A53">
                <w:rPr>
                  <w:rFonts w:ascii="PT Astra Serif" w:hAnsi="PT Astra Serif"/>
                  <w:sz w:val="28"/>
                  <w:szCs w:val="28"/>
                </w:rPr>
                <w:t>N 97-П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27.12.2024 </w:t>
            </w:r>
            <w:hyperlink r:id="rId59">
              <w:r w:rsidRPr="00145A53">
                <w:rPr>
                  <w:rFonts w:ascii="PT Astra Serif" w:hAnsi="PT Astra Serif"/>
                  <w:sz w:val="28"/>
                  <w:szCs w:val="28"/>
                </w:rPr>
                <w:t>N 1107-П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60">
              <w:r w:rsidRPr="00145A53">
                <w:rPr>
                  <w:rFonts w:ascii="PT Astra Serif" w:hAnsi="PT Astra Serif"/>
                  <w:sz w:val="28"/>
                  <w:szCs w:val="28"/>
                </w:rPr>
                <w:t>N 1157-П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07.11.2025 </w:t>
            </w:r>
            <w:hyperlink r:id="rId61">
              <w:r w:rsidRPr="00145A53">
                <w:rPr>
                  <w:rFonts w:ascii="PT Astra Serif" w:hAnsi="PT Astra Serif"/>
                  <w:sz w:val="28"/>
                  <w:szCs w:val="28"/>
                </w:rPr>
                <w:t>N 828-П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30.12.2025 </w:t>
            </w:r>
            <w:hyperlink r:id="rId62">
              <w:r w:rsidRPr="00145A53">
                <w:rPr>
                  <w:rFonts w:ascii="PT Astra Serif" w:hAnsi="PT Astra Serif"/>
                  <w:sz w:val="28"/>
                  <w:szCs w:val="28"/>
                </w:rPr>
                <w:t>N 1004-П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63">
              <w:r w:rsidRPr="00145A53">
                <w:rPr>
                  <w:rFonts w:ascii="PT Astra Serif" w:hAnsi="PT Astra Serif"/>
                  <w:sz w:val="28"/>
                  <w:szCs w:val="28"/>
                </w:rPr>
                <w:t>N 1015-П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11.02.2026 </w:t>
            </w:r>
            <w:hyperlink r:id="rId64">
              <w:r w:rsidRPr="00145A53">
                <w:rPr>
                  <w:rFonts w:ascii="PT Astra Serif" w:hAnsi="PT Astra Serif"/>
                  <w:sz w:val="28"/>
                  <w:szCs w:val="28"/>
                </w:rPr>
                <w:t>N 79-П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29.04.2026 </w:t>
            </w:r>
            <w:hyperlink r:id="rId65">
              <w:r w:rsidRPr="00145A53">
                <w:rPr>
                  <w:rFonts w:ascii="PT Astra Serif" w:hAnsi="PT Astra Serif"/>
                  <w:sz w:val="28"/>
                  <w:szCs w:val="28"/>
                </w:rPr>
                <w:t>N 321-П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Стратегические приоритеты государственной программы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 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I. Оценка текущего состояния сферы культуры области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Культура в Саратовской области является одним из национальных приоритетов и признана важнейшим фактором роста качества жизни и гармонизации общественных отношений, залогом динамичного социально-экономического развития, гарантом сохранения единого культурного пространства и территориальной целостности региона.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Государственная культурная политика в области с 2013 года, в том числе в рамках национального </w:t>
      </w:r>
      <w:hyperlink r:id="rId66">
        <w:r w:rsidRPr="00145A53">
          <w:rPr>
            <w:rFonts w:ascii="PT Astra Serif" w:hAnsi="PT Astra Serif"/>
            <w:sz w:val="28"/>
            <w:szCs w:val="28"/>
          </w:rPr>
          <w:t>проекта</w:t>
        </w:r>
      </w:hyperlink>
      <w:r w:rsidRPr="00145A53">
        <w:rPr>
          <w:rFonts w:ascii="PT Astra Serif" w:hAnsi="PT Astra Serif"/>
          <w:sz w:val="28"/>
          <w:szCs w:val="28"/>
        </w:rPr>
        <w:t xml:space="preserve"> "Культура" с 2019 года, была нацелена на реализацию стратегической роли культуры как духовно-нравственного основания для формирования гармонично развитой личности, укрепление единства российского общества и российской гражданской идентичности, увеличение количества граждан, вовлеченных в культурную деятельность, и повышение востребованности цифровых ресурсов в сфере культуры в области. Достижение указанных целей обеспечивалось за счет модернизации инфраструктуры культуры, широкой поддержки творческих инициатив граждан и организаций, культурно-просветительских проектов, переподготовки специалистов сферы культуры, развития волонтерского движения и внедрения информационных технологий.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Включение культуры в состав национальных проектов оказало заметное влияние на изменение на всех уровнях управления отношения к вопросам культурной политики в регионе и ее законодательному обеспечению. Создаются различные организационные механизмы и инструменты реализации государственной культурной политики: межведомственные координационные органы, фонды культурного развития, проектные офисы.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Посещаемость мероприятий организаций культуры области в 2022 году составила 28,0 млн. посещений.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2030 году в условиях прогнозируемого устойчивого роста экономики региона и ожидаемого повышения уровня востребованности культуры ожидается увеличение числа посещений мероприятий организаций культуры области до 67,8 млн. посещений или в среднем до 30 посещений в расчете на одного человека в год.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2025 году отрасль культуры области включает 1964 государственных и муниципальных учреждения культуры, в которых работает более 11,6 тыс. человек.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шестая в ред. </w:t>
      </w:r>
      <w:hyperlink r:id="rId67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период с 2014 по 2024 годы вырос консолидированный бюджет сферы культуры области. В абсолютных значениях расходы на культуру в регионе увеличились за рассматриваемый период более чем в 1,48 раза - с 4865,3 млн рублей в 2014 году до 7224,7 млн рублей в 2024 году. В расчете на душу населения расходы на культуру возросли с 1948,8 рубля в 2014 году до 3029,01 рубля в 2024 году.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седьмая в ред. </w:t>
      </w:r>
      <w:hyperlink r:id="rId68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последние годы в мировой и отечественной культуре произошли принципиальные изменения, связанные с внедрением новых технических средств коммуникации и возникновением на их основе новых социокультурных связей и взаимодействий.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целях обеспечения гражданам доступа к знаниям, информации и культурным ценностям, сохранения культурного пространства страны созданы и развиваются первый цифровой проект Министерства культуры Российской Федерации - портал культурного наследия, традиций народов России "</w:t>
      </w:r>
      <w:hyperlink r:id="rId69">
        <w:r w:rsidRPr="00145A53">
          <w:rPr>
            <w:rFonts w:ascii="PT Astra Serif" w:hAnsi="PT Astra Serif"/>
            <w:sz w:val="28"/>
            <w:szCs w:val="28"/>
          </w:rPr>
          <w:t>Культура.РФ</w:t>
        </w:r>
      </w:hyperlink>
      <w:r w:rsidRPr="00145A53">
        <w:rPr>
          <w:rFonts w:ascii="PT Astra Serif" w:hAnsi="PT Astra Serif"/>
          <w:sz w:val="28"/>
          <w:szCs w:val="28"/>
        </w:rPr>
        <w:t>", ставший точкой сосредоточения культурного наследия в цифровой форме, информационной площадкой общероссийских акций в сфере культуры, а также Национальная электронная библиотека, обеспечивающая широкий доступ к полнотекстовым электронным изданиям книг, музейным коллекциям и архивным документам.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Заметную роль уровень развития цифровых технологий сыграл в условиях пандемии новой коронавирусной инфекции COVID-19, когда в целях сохранения возможности участия граждан в культурной жизни ведущие организации сферы культуры области перевели культурные мероприятия в цифровой формат. Число обращений к цифровым ресурсам в сфере культуры области в 2021 году составило 2,8 млн. единиц, превысив при этом уровень 2020 года в 2,9 раза.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В условиях дальнейшего развития информационного общества, в котором информация и уровень ее применения и доступности кардинальным образом влияют на экономические и социокультурные условия жизни граждан, проживающих на территории области, ожидается повышение востребованности цифровых услуг в сфере культуры области. Прогнозируется, что в 2030 году число обращений к цифровым ресурсам возрастет более чем в 2,7 раза по сравнению с 2021 годом и составит около 7,9 млн. единиц.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Ожидается развитие сектора креативных индустрий и творческого (креативного) предпринимательства, которые играют ключевую роль в современном экономическом развитии области, в том числе с учетом использования цифровых коммуникационных технологий на другом качественном уровне.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Основы государственного регулирования туристической сферы области определены </w:t>
      </w:r>
      <w:hyperlink r:id="rId70">
        <w:r w:rsidRPr="00145A53">
          <w:rPr>
            <w:rFonts w:ascii="PT Astra Serif" w:hAnsi="PT Astra Serif"/>
            <w:sz w:val="28"/>
            <w:szCs w:val="28"/>
          </w:rPr>
          <w:t>Законом</w:t>
        </w:r>
      </w:hyperlink>
      <w:r w:rsidRPr="00145A53">
        <w:rPr>
          <w:rFonts w:ascii="PT Astra Serif" w:hAnsi="PT Astra Serif"/>
          <w:sz w:val="28"/>
          <w:szCs w:val="28"/>
        </w:rPr>
        <w:t xml:space="preserve"> Саратовской области "О государственной поддержке туризма и туристской деятельности в Саратовской области". Его положения нашли развитие в </w:t>
      </w:r>
      <w:hyperlink r:id="rId71">
        <w:r w:rsidRPr="00145A53">
          <w:rPr>
            <w:rFonts w:ascii="PT Astra Serif" w:hAnsi="PT Astra Serif"/>
            <w:sz w:val="28"/>
            <w:szCs w:val="28"/>
          </w:rPr>
          <w:t>Стратегии</w:t>
        </w:r>
      </w:hyperlink>
      <w:r w:rsidRPr="00145A53">
        <w:rPr>
          <w:rFonts w:ascii="PT Astra Serif" w:hAnsi="PT Astra Serif"/>
          <w:sz w:val="28"/>
          <w:szCs w:val="28"/>
        </w:rPr>
        <w:t xml:space="preserve"> развития туризма на территории Саратовской области на период до 2030 года, утвержденной постановлением Правительства Саратовской области от 11 апреля 2023 года N 320-П.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тринадцатая введена </w:t>
      </w:r>
      <w:hyperlink r:id="rId72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Одним из катализаторов социально-экономического развития области является туризм. Указанная сфера создает условия для формирования здорового образа жизни и отдыха граждан, обеспечивая создание дополнительных рабочих мест, рост занятости и повышение благосостояния населения. В настоящее время туризм оказывает влияние на развитие таких сфер деятельности, как транспорт, связь, торговля, производство, питание, сельское хозяйство, строительство и другие отрасли.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четырнадцатая введена </w:t>
      </w:r>
      <w:hyperlink r:id="rId73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Саратовской области задействовано более 4 тыс. субъектов малого и среднего предпринимательства по 40 видам экономической деятельности, входящим в группу "Туризм": туристические объекты, прилегающая к ним инфраструктура - дороги, объекты торговли и питания, транспорт, а также гостиницы, санатории, турбазы, объекты показа, культуры, туроператорские компании, туристические агентства и пр. Ежегодно налоговые доходы от деятельности субъектов малого и среднего предпринимательства в сфере туризма составляют порядка 2,5 млрд. рублей.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пятнадцатая введена </w:t>
      </w:r>
      <w:hyperlink r:id="rId74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Доступность региона обеспечена всеми видами транспорта - </w:t>
      </w:r>
      <w:r w:rsidRPr="00145A53">
        <w:rPr>
          <w:rFonts w:ascii="PT Astra Serif" w:hAnsi="PT Astra Serif"/>
          <w:sz w:val="28"/>
          <w:szCs w:val="28"/>
        </w:rPr>
        <w:lastRenderedPageBreak/>
        <w:t>автомобильным, железнодорожным, воздушным и водным.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шестнадцатая введена </w:t>
      </w:r>
      <w:hyperlink r:id="rId75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Туристский поток в течение последних лет характеризуется стабильным ростом. В 2022 году Саратовскую область посетили более 1 млн. человек, в том числе 50 тыс. человек в рамках круизного туризма. Саратовская область привлекает туристов своим богатым культурным наследием. В области насчитывается порядка 2,5 тыс. объектов показа, среди них: 22 усадьбы, 11 театров, 27 музеев и их филиалов, в том числе Саратовский государственный художественный музей им. А.Н. Радищева, свыше 50 храмов, памятников истории и культуры и других достопримечательностей. Ежегодно множество туристов посещают Саратовскую область в рамках событийных мероприятий.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семнадцатая введена </w:t>
      </w:r>
      <w:hyperlink r:id="rId76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За последние годы было реализовано несколько крупных проектов по развитию туризма в муниципальных районах области. В Энгельсском муниципальном районе на месте приземления Ю.А. Гагарина был создан мемориальный музей-заповедник "Парк покорителей космоса". Этот объект стал новым ярким местом притяжения туристов.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восемнадцатая введена </w:t>
      </w:r>
      <w:hyperlink r:id="rId77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Горнолыжный курорт в Хвалынском муниципальном районе является центром зимнего активного отдыха. Его посещают не только жители области, но и туристы из Астраханской, Волгоградской, Самарской, Ульяновской, Пензенской, Тамбовской, Воронежской областей, Москвы и Московской области, Республик Мордовия и Татарстан. Круглогодично осуществляет работу единственный в области термальный комплекс "Хвалынские термы" - бассейн на открытом воздухе с родниковой водой. Ежегодно данный курорт посещают порядка 250 тыс. человек.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девятнадцатая введена </w:t>
      </w:r>
      <w:hyperlink r:id="rId78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Немаловажную роль в развитии туристской отрасли области играют образовательные организации высшего образования. На территории Саратовской области 4 образовательных организации, реализующие подготовку специалистов в сфере туризма по 3 специальностям: 43.02.10 "Туризм", 43.02.11 "Гостиничное дело" и 43.02.16 "Туризм и гостеприимство". Среди них: государственное автономное профессиональное образовательное учреждение Саратовской области "Балаковский промышленно-транспортный техникум имени Н.В. Грибанова", государственное автономное профессиональное образовательное учреждение Саратовской области "Вольский технологический колледж", государственное </w:t>
      </w:r>
      <w:r w:rsidRPr="00145A53">
        <w:rPr>
          <w:rFonts w:ascii="PT Astra Serif" w:hAnsi="PT Astra Serif"/>
          <w:sz w:val="28"/>
          <w:szCs w:val="28"/>
        </w:rPr>
        <w:lastRenderedPageBreak/>
        <w:t>автономное профессиональное образовательное учреждение Саратовской области "Саратовский колледж кулинарного искусства", АНПОО "Институт развития бизнеса и стратегий".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двадцатая введена </w:t>
      </w:r>
      <w:hyperlink r:id="rId79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 базе федерального государственного бюджетного образовательного учреждения высшего образования "Саратовский национальный исследовательский государственный университет имени Н.Г. Чернышевского" и федерального государственного бюджетного образовательного учреждения высшего образования "Саратовский государственный технический университет имени Гагарина Ю.А." осуществляется подготовка специалистов в сфере туризма по программам бакалавриата и магистратуры. В рамках курсовых и дипломных работ студенты разрабатывают туристские маршруты под руководством ведущих представителей отрасли. Наиболее удачные проекты внедряются в деятельность региональных туристских организаций.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двадцать первая введена </w:t>
      </w:r>
      <w:hyperlink r:id="rId80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Таким образом, Саратовская область обладает значительным туристическим потенциалом. Перспективными видами туризма для области являются промышленный, гастрономический, экологический, сельский и деловой.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двадцать вторая введена </w:t>
      </w:r>
      <w:hyperlink r:id="rId81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имеющимся проблемам отрасли можно отнести следующие: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малое количество коллективных средств размещения как в областном центре, так и в районах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невыгодные экономические условия для привлечения инвестиций в туристскую инфраструктуру, наличие административных барьеров;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сезонность: до 80 процентов доходов туриндустрии приходится на высокий сезон с середины мая по октябрь, в остальное время принимающий туристический бизнес убыточен;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неблагоприятный туристский имидж как внутри региона, так и за его пределами;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недостаточная информированность населения об имеющихся туристских ресурсах региона;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неразвитость транспортной инфраструктуры области, что в некоторых случаях приводит к отсутствию возможности посещения объектов туристского показа;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неразвитость таких видов туризма, как сельский, событийный, лечебно-оздоровительный, экологический, для которых в регионе имеется достаточно ресурсов для активного привлечения туристов.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двадцать третья введена </w:t>
      </w:r>
      <w:hyperlink r:id="rId82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Для решения указанных проблем региональной туристической отрасли необходимо: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увеличить количество повторных посещений, формировать лояльность к туристскому продукту региона;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создать условия для потенциальных инвесторов, заинтересованных в строительстве коллективных средств размещения - гостиниц, санаториев, туристических баз, а также глэмпингов;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разработать для жителей региона "туры выходного дня" как инструмент развития внутреннего туризма в регионе;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более равномерно распределить туристские потоки, так как наибольшее число гостей региона принимает областной центр, несмотря на имеющийся туристский потенциал районов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нивелировать фактор сезонности туристского потока в регион.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двадцать четвертая введена </w:t>
      </w:r>
      <w:hyperlink r:id="rId83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Значительную роль для информирования населения об имеющихся туристских ресурсах играет создание единого информационного поля, объединяющего информацию обо всех ресурсах отрасли от всех заинтересованных в развитии туризма субъектов.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двадцать пятая введена </w:t>
      </w:r>
      <w:hyperlink r:id="rId84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Вместе с тем многие проблемы в сфере культуры в регионе остаются нерешенными, в их числе: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отсутствие в обществе представления о стратегической роли культуры и приоритетах культурной политики в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значительное количество памятников истории и культуры на территории области, находящихся в неудовлетворительном состоянии;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недостаточный уровень обеспеченности населения в области организациями культуры, высокий уровень региональных и муниципальных диспропорций;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низкий уровень доступности культурных форм досуга для жителей сельской местности и небольших городских поселений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здания муниципальных учреждений культуры области имеют высокую степень изношенности, остаются острыми проблемы состояния материально-технической базы муниципальных культурно-досуговых учреждений, библиотек и музеев;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низкий уровень цифровой зрелости значительного количества учреждений культуры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недостаток квалифицированных кадров в сфере культуры области, а также специалистов для проведения реставрационных работ на объектах культурного наследия, в фондах музеев и библиотек;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отсутствие индексации объемов государственной поддержки отечественного кинопроизводства, что негативно отражается на количестве новых проектов.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Решение указанных проблем обеспечит развитие сферы культуры в соответствии с приоритетами и целями государственной политики и окажет существенное влияние на достижение национальных целей развития региона.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II. Описание приоритетов и целей государственной политики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сфере реализации государственной программы Саратовской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области "Культура Саратовской области"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85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от 28.12.2024 N 1157-П)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Система целеполагания и задачи государственной программы Саратовской области "Культура Саратовской области" (далее - Программа) сформированы с учетом национальных целей развития региона на период до 2030 года, определенных </w:t>
      </w:r>
      <w:hyperlink r:id="rId86">
        <w:r w:rsidRPr="00145A53">
          <w:rPr>
            <w:rFonts w:ascii="PT Astra Serif" w:hAnsi="PT Astra Serif"/>
            <w:sz w:val="28"/>
            <w:szCs w:val="28"/>
          </w:rPr>
          <w:t>Указом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года", и Единого </w:t>
      </w:r>
      <w:hyperlink r:id="rId87">
        <w:r w:rsidRPr="00145A53">
          <w:rPr>
            <w:rFonts w:ascii="PT Astra Serif" w:hAnsi="PT Astra Serif"/>
            <w:sz w:val="28"/>
            <w:szCs w:val="28"/>
          </w:rPr>
          <w:t>плана</w:t>
        </w:r>
      </w:hyperlink>
      <w:r w:rsidRPr="00145A53">
        <w:rPr>
          <w:rFonts w:ascii="PT Astra Serif" w:hAnsi="PT Astra Serif"/>
          <w:sz w:val="28"/>
          <w:szCs w:val="28"/>
        </w:rPr>
        <w:t xml:space="preserve"> по достижению национальных целей развития Российской Федерации на период до 2024 года и на плановый период до 2030 года, утвержденного распоряжением Правительства Российской Федерации от 1 октября 2021 года N 2765-р.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Реализация Программы будет непосредственно направлена на достижение национальной цели развития области на период до 2030 года и на перспективу до 2036 года - "Реализация потенциала каждого человека, развитие его талантов, воспитание патриотичной и социально ответственной личности".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При формировании целей и показателей Программы учитывались положения документов стратегического планирования, в том числе </w:t>
      </w:r>
      <w:hyperlink r:id="rId88">
        <w:r w:rsidRPr="00145A53">
          <w:rPr>
            <w:rFonts w:ascii="PT Astra Serif" w:hAnsi="PT Astra Serif"/>
            <w:sz w:val="28"/>
            <w:szCs w:val="28"/>
          </w:rPr>
          <w:t>Стратегии</w:t>
        </w:r>
      </w:hyperlink>
      <w:r w:rsidRPr="00145A53">
        <w:rPr>
          <w:rFonts w:ascii="PT Astra Serif" w:hAnsi="PT Astra Serif"/>
          <w:sz w:val="28"/>
          <w:szCs w:val="28"/>
        </w:rPr>
        <w:t xml:space="preserve"> социально-экономического развития Саратовской области до 2030 </w:t>
      </w:r>
      <w:r w:rsidRPr="00145A53">
        <w:rPr>
          <w:rFonts w:ascii="PT Astra Serif" w:hAnsi="PT Astra Serif"/>
          <w:sz w:val="28"/>
          <w:szCs w:val="28"/>
        </w:rPr>
        <w:lastRenderedPageBreak/>
        <w:t xml:space="preserve">года, утвержденной постановлением Правительства Саратовской области от 30 июня 2016 года N 321-П, государственной </w:t>
      </w:r>
      <w:hyperlink r:id="rId89">
        <w:r w:rsidRPr="00145A53">
          <w:rPr>
            <w:rFonts w:ascii="PT Astra Serif" w:hAnsi="PT Astra Serif"/>
            <w:sz w:val="28"/>
            <w:szCs w:val="28"/>
          </w:rPr>
          <w:t>программы</w:t>
        </w:r>
      </w:hyperlink>
      <w:r w:rsidRPr="00145A53">
        <w:rPr>
          <w:rFonts w:ascii="PT Astra Serif" w:hAnsi="PT Astra Serif"/>
          <w:sz w:val="28"/>
          <w:szCs w:val="28"/>
        </w:rPr>
        <w:t xml:space="preserve"> Российской Федерации "Развитие культуры", утвержденной постановлением Правительства Российской Федерации от 15 апреля 2014 года N 317.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Определены приоритеты Программы.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Цель 1: увеличение числа посещений культурных мероприятий.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пятая в ред. </w:t>
      </w:r>
      <w:hyperlink r:id="rId90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Цель 2: 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шестая в ред. </w:t>
      </w:r>
      <w:hyperlink r:id="rId91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Цель 3: увеличение к 2030 году доли молодых людей, вовлеченных в добровольческую и общественную деятельность.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седьмая в ред. </w:t>
      </w:r>
      <w:hyperlink r:id="rId92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Цель 4: создание условий для обеспечения доступности гражданами поездок по стране в условиях комфортной и безопасной туристической среды.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восьмая введена </w:t>
      </w:r>
      <w:hyperlink r:id="rId93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рамках обеспечения достижения поставленных целей предусматривается решение основных задач: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создание и показ новых постановок и (или) укрепление материально-технической базы профессиональных репертуарных театров и учреждений культурно-досугового типа;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фондов библиотек муниципальных образований и государственных общедоступных библиотек области книгами;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доступа граждан к музейным ценностям;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доступа граждан к ценностям театрального искусства;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доступа граждан к ценностям музыкального и циркового искусства;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доступа граждан к фондам общедоступных публичных библиотек области (в печатном и в электронном виде);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обеспечение условий для развития народного творчества;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доступности образовательных услуг в сфере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объектов культурного наследия федерального и регионального значения предметами охраны, границами территорий, зонами охраны (за исключением объектов археологии) и актами технического состояния объектов культурного наследия, включенных в единый государственный реестр;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сохранности, учета документов и предоставление пользователям архивной информации;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реализация к концу 2030 года не менее 10 проектов социально ориентированных некоммерческих организаций в сфере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получение гражданами возможности поддержки творческих инициатив, направленных на укрепление российской гражданской идентичности и сохранение духовно-нравственных ценностей народов Российской Федерации;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восполнение вакантных должностей работников культуры, при замещении которых предоставляются единовременные компенсационные выплаты;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соответствующих условий для выявления и творческого развития художественно одаренных детей и молодежи;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создание условий для повышения квалификации специалистов учреждений сферы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получение гражданами дополнительных возможностей для посещения и участия в культурно-просветительских мероприятиях и для обеспечения семейного досуга;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предоставление гражданам возможности расширения доступа к творческим мероприятиям, направленным в том числе на сохранение семейных ценностей;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реализация проектов по строительству (реконструкции) объектов региональной (муниципальной) собственности;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создание и показ новых постановок и (или) укрепление материально-технической базы профессиональных репертуарных театров и учреждений культурно-досугового типа;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проведение работ по сохранению объекта культурного наследия;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(абзац введен </w:t>
      </w:r>
      <w:hyperlink r:id="rId94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30.12.2025 N 1004-П)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 xml:space="preserve">абзац утратил силу с 1 января 2026 года. - </w:t>
      </w:r>
      <w:hyperlink r:id="rId95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30.12.2025 N 1015-П;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благоприятных условий для оказания услуг всем категориям населения и обеспечение образовательного процесса в сфере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информацией о качестве условий оказания услуг организациями в сфере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проведения государственных праздников и значимых событий общества;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укрепление гражданского единства, гражданского самосознания и сохранения самобытности многонационального народа Российской Федерации (российской нации), обеспечение межнационального и межрелигиозного мира и согласия, гармонизации межнациональных (межэтнических) отношений, содействие этнокультурному и духовному развитию народов Российской Федерации;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содействие укреплению гражданского единства и гармонизации межнациональных отношений;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увековечение памяти погибших при защите Отечества;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(абзац введен </w:t>
      </w:r>
      <w:hyperlink r:id="rId96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30.12.2025 N 1015-П)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за счет создания и развития современной и качественной туристской инфраструктуры в регионах увеличивается число новых поездок по России;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формирование единого туристического информационного пространства Саратовской области.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(часть девятая в ред. </w:t>
      </w:r>
      <w:hyperlink r:id="rId97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Основными целями культурной политики области согласно </w:t>
      </w:r>
      <w:hyperlink r:id="rId98">
        <w:r w:rsidRPr="00145A53">
          <w:rPr>
            <w:rFonts w:ascii="PT Astra Serif" w:hAnsi="PT Astra Serif"/>
            <w:sz w:val="28"/>
            <w:szCs w:val="28"/>
          </w:rPr>
          <w:t>Основам</w:t>
        </w:r>
      </w:hyperlink>
      <w:r w:rsidRPr="00145A53">
        <w:rPr>
          <w:rFonts w:ascii="PT Astra Serif" w:hAnsi="PT Astra Serif"/>
          <w:sz w:val="28"/>
          <w:szCs w:val="28"/>
        </w:rPr>
        <w:t xml:space="preserve"> государственной культурной политики, утвержденным Указом Президента Российской Федерации от 24 декабря 2014 года N 808, являются 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развития, а также: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укрепление гражданской идентичности;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создание условий для воспитания граждан;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сохранение исторического и культурного наследия и его использование для воспитания и образования;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передача от поколения к поколению традиционных для российского общества ценностей и норм, традиций, обычаев и образцов поведения;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создание условий для реализации каждым человеком его творческого потенциала;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доступа граждан к знаниям, информации, культурным ценностям и благам.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Для достижения указанных целей и приоритетов Программы включены следующие направления (подпрограммы) реализации: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1 "Развитие искусства и творчества";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2 "Образование в сфере культуры";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3 "Государственная охрана, сохранение и популяризация объектов культурного наследия";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4 "Архивы";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5 "Творческое развитие детей и молодежи в сфере культуры";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6 "Укрепление материально-технической базы и обеспечение деятельности учреждений в сфере культуры";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7 "Популяризация культурных традиций";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8 "Гармонизация межнациональных отношений и этнокультурное развитие народов Саратовской области";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9 "Туризм".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Паспорт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 силу с 28 декабря 2024 года. - </w:t>
      </w:r>
      <w:hyperlink r:id="rId99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1. "Развитие искусства и творчества"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00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2 "Развитие образования в сфере культуры"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01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</w:t>
      </w:r>
      <w:r w:rsidRPr="00145A53">
        <w:rPr>
          <w:rFonts w:ascii="PT Astra Serif" w:hAnsi="PT Astra Serif"/>
          <w:sz w:val="28"/>
          <w:szCs w:val="28"/>
        </w:rPr>
        <w:lastRenderedPageBreak/>
        <w:t>Саратовской области от 28.12.2024 N 1157-П.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3 "Государственная охрана, сохранение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популяризация объектов культурного наследия"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02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4 "Архивы"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03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5 "Творческое развитие детей и молодежи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сфере культуры"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04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6 "Укрепление материально-технической базы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обеспечение деятельности учреждений в сфере культуры"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05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7 "Популяризация культурных традиций"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06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Подпрограмма 8 "Гармонизация межнациональных отношений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этнокультурного развития народов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07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1157-П.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1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ПОРЯДОК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СУБСИДИИ БЮДЖЕТАМ МУНИЦИПАЛЬНЫХ РАЙОНОВ, ГОРОДСКИХ ОКРУГОВ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ПОСЕЛЕНИЙ ОБЛАСТИ НА ПОДДЕРЖКУ ОТРАСЛИ КУЛЬТУРЫ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07.11.2025 </w:t>
            </w:r>
            <w:hyperlink r:id="rId108">
              <w:r w:rsidRPr="00145A53">
                <w:rPr>
                  <w:rFonts w:ascii="PT Astra Serif" w:hAnsi="PT Astra Serif"/>
                  <w:sz w:val="28"/>
                  <w:szCs w:val="28"/>
                </w:rPr>
                <w:t>N 828-П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11.02.2026 </w:t>
            </w:r>
            <w:hyperlink r:id="rId109">
              <w:r w:rsidRPr="00145A53">
                <w:rPr>
                  <w:rFonts w:ascii="PT Astra Serif" w:hAnsi="PT Astra Serif"/>
                  <w:sz w:val="28"/>
                  <w:szCs w:val="28"/>
                </w:rPr>
                <w:t>N 79-П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1. Настоящий Порядок определяет цели и условия предоставления из областного бюджета субсидии бюджетам муниципальных районов, городских округов и поселений области (далее - муниципальные образования области) на поддержку отрасли культуры (далее - субсидия), критерии отбора муниципальных образований области для предоставления субсидии и методику ее распределения между муниципальными образованиями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2. В настоящем Порядке под муниципальными учреждениями культуры, находящимися на территориях сельских поселений, понимаются муниципальные учреждения культуры (их обособленные подразделения), расположенные на сельских территориях.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 сельскими территориями понимаются сельские поселения или сельские поселения и межселенные территории, объединенные общей территорией в границах муниципального района и поселения, сельские населенные пункты и рабочие поселки, входящие в состав городских поселений, городских округов (за исключением муниципального образования "Город Саратов"), рабочие поселки, наделенные статусом городских поселений.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Перечень сельских населенных пунктов и рабочих поселков на территории Саратовской области утверждается правовым актом Правительства Саратовской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255"/>
      <w:bookmarkEnd w:id="2"/>
      <w:r w:rsidRPr="00145A53">
        <w:rPr>
          <w:rFonts w:ascii="PT Astra Serif" w:hAnsi="PT Astra Serif"/>
          <w:sz w:val="28"/>
          <w:szCs w:val="28"/>
        </w:rPr>
        <w:t>3. Субсидия предоставляется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культуры области (далее - Министерство) на софинансирование расходных обязательств муниципальных образований области на реализацию мероприятий, направленных на поддержку отрасли культуры, в том числе: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а) возникающих при реализации регионального проекта "Семейные ценности и инфраструктура культуры" по приобретению для детских школ искусств и профессиональных образовательных организаций, находящихся в </w:t>
      </w:r>
      <w:r w:rsidRPr="00145A53">
        <w:rPr>
          <w:rFonts w:ascii="PT Astra Serif" w:hAnsi="PT Astra Serif"/>
          <w:sz w:val="28"/>
          <w:szCs w:val="28"/>
        </w:rPr>
        <w:lastRenderedPageBreak/>
        <w:t>ведении муниципальных образований в области культуры (далее - детская школа искусств и училище):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музыкальных инструментов преимущественно отечественного производства или сборки из комплектующих иностранного производства, произведенной на территории Российской Федерации, включая их доставку и погрузочно-разгрузочные работы;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оборудования преимущественно отечественного производства или сборки из комплектующих иностранного производства, произведенной на территории Российской Федерации, включая доставку, погрузочно-разгрузочные работы, монтаж, демонтаж (для учебных аудиторий, библиотек, залов) и выставочное оборудование, в том числе мультимедийное оборудование с соответствующим программным обеспечением (далее - оборудование);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материалов (учебники, учебные пособия, в том числе электронные издания, наглядные пособия и учебные материалы, натюрмортный фонд, художественные альбомы, нотные издания, в том числе нотный педагогический репертуар для детских школ искусств и училищ, клавиры, партитуры и хрестоматии);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возникающих при реализации регионального проекта "Развитие искусства и творчества" по государственной поддержке лучших работников муниципальных учреждений культуры, находящихся на территориях сельских поселений (далее - лучшие работники сельских учреждений культуры);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в) возникающих при реализации регионального проекта "Развитие искусства и творчества" по государственной поддержке лучших муниципальных учреждений культуры, находящихся на территориях сельских поселений (далее - лучшие сельские учреждения культуры);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г) утратил силу. - </w:t>
      </w:r>
      <w:hyperlink r:id="rId110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11.02.2026 N 79-П.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(п. 3 в ред. </w:t>
      </w:r>
      <w:hyperlink r:id="rId111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4. Субсидия предоставляется бюджетам муниципальных образований области при выполнении следующих условий: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наличие соглашения, заключаемого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112">
        <w:r w:rsidRPr="00145A53">
          <w:rPr>
            <w:rFonts w:ascii="PT Astra Serif" w:hAnsi="PT Astra Serif"/>
            <w:sz w:val="28"/>
            <w:szCs w:val="28"/>
          </w:rPr>
          <w:t>подпункта "л(1)" пункта 10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</w:t>
      </w:r>
      <w:r w:rsidRPr="00145A53">
        <w:rPr>
          <w:rFonts w:ascii="PT Astra Serif" w:hAnsi="PT Astra Serif"/>
          <w:sz w:val="28"/>
          <w:szCs w:val="28"/>
        </w:rPr>
        <w:lastRenderedPageBreak/>
        <w:t>Федерации от 30 сентября 2014 года N 999 (далее - Соглашение), о предоставлении из бюджета Саратовской области субсидии бюджету муниципального образования области, предусматривающего обязательства муниципального образования области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113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11.02.2026 N 79-П;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централизация закупок товаров, финансовое обеспечение которых частично или полностью осуществляется за счет субсидии.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(п. 4 в ред. </w:t>
      </w:r>
      <w:hyperlink r:id="rId114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5. Критериями отбора муниципальных образований области в целях софинансирования расходных обязательств по финансовому обеспечению мероприятий по приобретению музыкальных инструментов, оборудования и учебных материалов для детских школ искусств и училищ являются: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15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наличие потребности в обеспечении реализации учебных предметов, соответствующих федеральным государственным образовательным стандартам среднего профессионального образования в области искусств и культуры и федеральным государственным требованиям к минимуму содержания, структуре и условиям реализации дополнительных предпрофессиональных программ в области искусств и срокам обучения по этим программам, а также в обеспечении музыкальными инструментами, оборудованием и учебными материалами;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16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наличие согласованного с Министерством культуры Российской Федерации перечня детских школ искусств и училищ, а также перечней приобретаемых для них музыкальных инструментов, оборудования и учебных материалов.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17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6. Критерием отбора муниципальных образований области для предоставления субсидии по государственной поддержке лучших сельских учреждений культуры и по государственной поддержке лучших работников сельских учреждений культуры является наличие заявок от органов местного самоуправления муниципальных образований области на предоставление субсидии за счет средств областного бюджета. Заявка представляется в </w:t>
      </w:r>
      <w:r w:rsidRPr="00145A53">
        <w:rPr>
          <w:rFonts w:ascii="PT Astra Serif" w:hAnsi="PT Astra Serif"/>
          <w:sz w:val="28"/>
          <w:szCs w:val="28"/>
        </w:rPr>
        <w:lastRenderedPageBreak/>
        <w:t>свободной форме.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Конкурсный отбор осуществляется Министерством на основании следующих критериев: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в отношении культурно-досуговой деятельности: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удельный вес населения, участвующего в культурно-досуговых мероприятиях (процентов общего числа населения);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уровень материально-технической базы (оснащенность техническим оборудованием, пополнение музыкального инструментария и обновление сценических костюмов, а также создание условий для посетителей в соответствии с их интересами и запросами (наличие игровых и спортивных комнат);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художественно-эстетический уровень оформления помещений и состояние прилегающей территории (планировка, благоустройство, освещение и озеленение);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количество клубных формирований (количество коллективов, их жанровое многообразие и художественный уровень) (процентов населения, участвующего в систематических занятиях художественным творчеством);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поиск и внедрение инновационных форм и методов работы с учетом особенностей различных категорий населения;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количество проводимых культурно-массовых мероприятий;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количество культурно-досуговых мероприятий, рассчитанных на обслуживание лиц с ограниченными возможностями здоровья и пенсионеров (процентов общего числа проводимых мероприятий);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количество культурно-просветительских мероприятий, ориентированных на детство и юношество (процентов общего числа проводимых мероприятий);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средняя заполняемость зрительных залов на культурно-досуговых мероприятиях;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взаимодействие с муниципальными и региональными учреждениями культуры, образования, молодежной политики и социального обеспечения;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участие в региональных, межрегиональных, всероссийских и международных фестивалях, конкурсах, праздниках и других массово-зрелищных мероприятиях;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работа со средствами массовой информации;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достижения в работе по изучению, сохранению и возрождению </w:t>
      </w:r>
      <w:r w:rsidRPr="00145A53">
        <w:rPr>
          <w:rFonts w:ascii="PT Astra Serif" w:hAnsi="PT Astra Serif"/>
          <w:sz w:val="28"/>
          <w:szCs w:val="28"/>
        </w:rPr>
        <w:lastRenderedPageBreak/>
        <w:t>фольклора, национальных костюмов, художественных промыслов и народной традиционной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работа по развитию жанров народного творчества, в том числе вокального, хореографического, музыкального, семейного, циркового, театрального и других жанров;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проектов по изучению и пропаганде истории и культуры малой Родины, а также по краеведческой работе;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дипломов, благодарностей, почетных грамот региональных или федеральных органов управления культурой (исполнительных органов социальной сферы) и других учреждений;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в отношении библиотечного дела: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число посещений библиотеки за год;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процент охвата населения библиотечным обслуживанием;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количество культурно-просветительных мероприятий, ориентированных, в том числе, на детей и молодежь, лиц с ограниченными возможностями здоровья и пенсионеров (в год);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применение информационных технологий в работе библиотеки;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краеведческих проектов в деятельности библиотеки;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проектов по развитию библиотечного дела;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участие в муниципальных, региональных и общероссийских проектах по развитию библиотечного дела;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взаимодействие с муниципальными и региональными органами власти, учреждениями культуры, образования, молодежной политики и социального обеспечения;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работа со средствами массовой информации;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дипломов, благодарностей, почетных грамот региональных или федеральных органов управления культурой (исполнительных органов социальной сферы) и других учреждений;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в) в отношении музейного дела: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художественно-эстетический уровень экспозиций музея;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количество посетителей музея (в год);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количество выставок, в том числе передвижных (в год);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количество культурно-просветительных мероприятий, в том числе ориентированных на детей и молодежь, лиц с ограниченными возможностями здоровья и пенсионеров (в год);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поиск и внедрение инновационных форм и методов работы с населением;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популяризация культурного наследия малой Родины, а также краеведческая работа;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работа со средствами массовой информации;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количество новых поступлений предметов музейного фонда (в год);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применение информационных технологий в учетно-хранительской работе музея;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количество научных публикаций на основе изучения фондовых коллекций;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проведение повышения квалификации музейных кадров;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дипломов, благодарностей, почетных грамот региональных или федеральных органов управления культурой (исполнительных органов социальной сферы) и других учреждений.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Денежные средства перечисляются: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лучшим сельским учреждениям культуры - на лицевой счет учреждения;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лучшим сельским учреждениям культуры, имеющим обособленные подразделения, - на лицевой счет учреждения с указанием наименования и местонахождения обособленного подразделения;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лучшим работникам сельских учреждений культуры - на счет, открытый в кредитной организации.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Денежные средства перечисляются на счет получателей в 3-месячный срок со дня подписания соглашения, заключенного между Министерством и администрацией муниципального образования области в государственной интегрированной информационной системе управления общественными финансами "Электронный бюджет", но не позднее текущего финансового года.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7. Утратил силу. - </w:t>
      </w:r>
      <w:hyperlink r:id="rId118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8. Утратил силу. - </w:t>
      </w:r>
      <w:hyperlink r:id="rId119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11.02.2026 N 79-П.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9. Размер субсидии, предоставляемой бюджету муниципального образования области, рассчитывается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  <w:lang w:val="en-US"/>
        </w:rPr>
      </w:pPr>
      <w:r w:rsidRPr="00145A53">
        <w:rPr>
          <w:rFonts w:ascii="PT Astra Serif" w:hAnsi="PT Astra Serif"/>
          <w:sz w:val="28"/>
          <w:szCs w:val="28"/>
          <w:lang w:val="en-US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145A53">
        <w:rPr>
          <w:rFonts w:ascii="PT Astra Serif" w:hAnsi="PT Astra Serif"/>
          <w:sz w:val="28"/>
          <w:szCs w:val="28"/>
          <w:lang w:val="en-US"/>
        </w:rPr>
        <w:t xml:space="preserve"> = V1</w:t>
      </w:r>
      <w:r w:rsidRPr="00145A53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145A53">
        <w:rPr>
          <w:rFonts w:ascii="PT Astra Serif" w:hAnsi="PT Astra Serif"/>
          <w:sz w:val="28"/>
          <w:szCs w:val="28"/>
          <w:lang w:val="en-US"/>
        </w:rPr>
        <w:t xml:space="preserve"> + V2</w:t>
      </w:r>
      <w:r w:rsidRPr="00145A53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145A53">
        <w:rPr>
          <w:rFonts w:ascii="PT Astra Serif" w:hAnsi="PT Astra Serif"/>
          <w:sz w:val="28"/>
          <w:szCs w:val="28"/>
          <w:lang w:val="en-US"/>
        </w:rPr>
        <w:t xml:space="preserve"> + V3</w:t>
      </w:r>
      <w:r w:rsidRPr="00145A53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145A53">
        <w:rPr>
          <w:rFonts w:ascii="PT Astra Serif" w:hAnsi="PT Astra Serif"/>
          <w:sz w:val="28"/>
          <w:szCs w:val="28"/>
          <w:lang w:val="en-US"/>
        </w:rPr>
        <w:t xml:space="preserve">, </w:t>
      </w:r>
      <w:r w:rsidRPr="00145A53">
        <w:rPr>
          <w:rFonts w:ascii="PT Astra Serif" w:hAnsi="PT Astra Serif"/>
          <w:sz w:val="28"/>
          <w:szCs w:val="28"/>
        </w:rPr>
        <w:t>где</w:t>
      </w:r>
      <w:r w:rsidRPr="00145A53">
        <w:rPr>
          <w:rFonts w:ascii="PT Astra Serif" w:hAnsi="PT Astra Serif"/>
          <w:sz w:val="28"/>
          <w:szCs w:val="28"/>
          <w:lang w:val="en-US"/>
        </w:rPr>
        <w:t>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общий размер субсидии, предоставляемой бюджету i-го муниципального образования области на реализацию мероприятий, указанных в </w:t>
      </w:r>
      <w:hyperlink w:anchor="P255">
        <w:r w:rsidRPr="00145A53">
          <w:rPr>
            <w:rFonts w:ascii="PT Astra Serif" w:hAnsi="PT Astra Serif"/>
            <w:sz w:val="28"/>
            <w:szCs w:val="28"/>
          </w:rPr>
          <w:t>пункте 3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настоящего Порядка;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V1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предоставляемой бюджету i-го муниципального образования области на реализацию мероприятий по приобретению музыкальных инструментов, оборудования и учебных материалов для детских школ искусств и училищ;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V2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предоставляемой бюджету i-го муниципального образования области на реализацию мероприятий по государственной поддержке лучших работников сельских учреждений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V3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предоставляемой бюджету i-го муниципального образования области на реализацию мероприятий по государственной поддержке лучших сельских учреждений культуры.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(п. 9 в ред. </w:t>
      </w:r>
      <w:hyperlink r:id="rId120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11.02.2026 N 79-П)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10. Размер субсидии, предоставляемой бюджету i-го муниципального образования области на реализацию мероприятий по приобретению музыкальных инструментов, оборудования и учебных материалов для детских школ искусств и училищ, (V1)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21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noProof/>
          <w:position w:val="-24"/>
          <w:sz w:val="28"/>
          <w:szCs w:val="28"/>
        </w:rPr>
        <w:drawing>
          <wp:inline distT="0" distB="0" distL="0" distR="0" wp14:anchorId="22AB7CE4" wp14:editId="27E2F804">
            <wp:extent cx="1393825" cy="4508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V1</w:t>
      </w:r>
      <w:r w:rsidRPr="00145A53">
        <w:rPr>
          <w:rFonts w:ascii="PT Astra Serif" w:hAnsi="PT Astra Serif"/>
          <w:sz w:val="28"/>
          <w:szCs w:val="28"/>
          <w:vertAlign w:val="subscript"/>
        </w:rPr>
        <w:t>общ</w:t>
      </w:r>
      <w:r w:rsidRPr="00145A53">
        <w:rPr>
          <w:rFonts w:ascii="PT Astra Serif" w:hAnsi="PT Astra Serif"/>
          <w:sz w:val="28"/>
          <w:szCs w:val="28"/>
        </w:rPr>
        <w:t xml:space="preserve"> - общий размер бюджетных ассигнований, предусмотренный в областном бюджете на соответствующий финансовый год на софинансирование расходных обязательств по приобретению музыкальных инструментов, оборудования и учебных материалов для детских школ искусств и училищ;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23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K - общая сумма коэффициентов выравнивания потребности муниципальных образований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K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коэффициент выравнивания потребности i-го муниципального </w:t>
      </w:r>
      <w:r w:rsidRPr="00145A53">
        <w:rPr>
          <w:rFonts w:ascii="PT Astra Serif" w:hAnsi="PT Astra Serif"/>
          <w:sz w:val="28"/>
          <w:szCs w:val="28"/>
        </w:rPr>
        <w:lastRenderedPageBreak/>
        <w:t>образования области на софинансирование расходных обязательств муниципального образования области по приобретению музыкальных инструментов, оборудования и учебных материалов для детских школ искусств и училищ.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24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Коэффициент выравнивания потребности i-го муниципального образования области (K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)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noProof/>
          <w:position w:val="-22"/>
          <w:sz w:val="28"/>
          <w:szCs w:val="28"/>
        </w:rPr>
        <w:drawing>
          <wp:inline distT="0" distB="0" distL="0" distR="0" wp14:anchorId="560A0614" wp14:editId="59981D22">
            <wp:extent cx="848995" cy="42989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заявленная финансовая потребность i-го муниципального образования области в целях софинансирование расходных обязательств муниципального образования области по приобретению музыкальных инструментов, оборудования и учебных материалов для детских школ искусств училищ;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26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 - общая заявленная финансовая потребность муниципальных образований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11. Размер субсидии, предоставляемой бюджету i-го муниципального образования области по государственной поддержке лучших работников, лучшим работникам муниципальных учреждений культуры, находящихся на территориях сельских поселений, (V2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) рассчитывается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noProof/>
          <w:position w:val="-25"/>
          <w:sz w:val="28"/>
          <w:szCs w:val="28"/>
        </w:rPr>
        <w:drawing>
          <wp:inline distT="0" distB="0" distL="0" distR="0" wp14:anchorId="3CB26B69" wp14:editId="23CF74FC">
            <wp:extent cx="2001520" cy="46101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2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N</w:t>
      </w:r>
      <w:r w:rsidRPr="00145A53">
        <w:rPr>
          <w:rFonts w:ascii="PT Astra Serif" w:hAnsi="PT Astra Serif"/>
          <w:sz w:val="28"/>
          <w:szCs w:val="28"/>
          <w:vertAlign w:val="subscript"/>
        </w:rPr>
        <w:t>k</w:t>
      </w:r>
      <w:r w:rsidRPr="00145A53">
        <w:rPr>
          <w:rFonts w:ascii="PT Astra Serif" w:hAnsi="PT Astra Serif"/>
          <w:sz w:val="28"/>
          <w:szCs w:val="28"/>
        </w:rPr>
        <w:t xml:space="preserve"> - количество денежных поощрений для i-го муниципального образования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50000 - размер денежного поощрения в соответствии с </w:t>
      </w:r>
      <w:hyperlink r:id="rId128">
        <w:r w:rsidRPr="00145A53">
          <w:rPr>
            <w:rFonts w:ascii="PT Astra Serif" w:hAnsi="PT Astra Serif"/>
            <w:sz w:val="28"/>
            <w:szCs w:val="28"/>
          </w:rPr>
          <w:t>Указом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Президента Российской Федерации от 28 июля 2012 года N 1062 "О мерах государственной поддержки муниципальных учреждений культуры, находящихся на территориях сельских поселений, и их работников";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ПрФБi - предельный уровень софинансирования расходного обязательства области из федерального бюджета.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12. Размер субсидии, предоставляемой бюджету i-го муниципального образования области по государственной поддержке лучших муниципальных учреждений культуры, находящимся на территориях сельских поселений </w:t>
      </w:r>
      <w:r w:rsidRPr="00145A53">
        <w:rPr>
          <w:rFonts w:ascii="PT Astra Serif" w:hAnsi="PT Astra Serif"/>
          <w:sz w:val="28"/>
          <w:szCs w:val="28"/>
        </w:rPr>
        <w:lastRenderedPageBreak/>
        <w:t>(V3i), рассчитывается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noProof/>
          <w:position w:val="-26"/>
          <w:sz w:val="28"/>
          <w:szCs w:val="28"/>
        </w:rPr>
        <w:drawing>
          <wp:inline distT="0" distB="0" distL="0" distR="0" wp14:anchorId="13A40F61" wp14:editId="17EEBFFA">
            <wp:extent cx="2064385" cy="47180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N</w:t>
      </w:r>
      <w:r w:rsidRPr="00145A53">
        <w:rPr>
          <w:rFonts w:ascii="PT Astra Serif" w:hAnsi="PT Astra Serif"/>
          <w:sz w:val="28"/>
          <w:szCs w:val="28"/>
          <w:vertAlign w:val="subscript"/>
        </w:rPr>
        <w:t>k</w:t>
      </w:r>
      <w:r w:rsidRPr="00145A53">
        <w:rPr>
          <w:rFonts w:ascii="PT Astra Serif" w:hAnsi="PT Astra Serif"/>
          <w:sz w:val="28"/>
          <w:szCs w:val="28"/>
        </w:rPr>
        <w:t xml:space="preserve"> - количество денежных поощрений для i-го муниципального образования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100000 - размер денежного поощрения в соответствии с </w:t>
      </w:r>
      <w:hyperlink r:id="rId130">
        <w:r w:rsidRPr="00145A53">
          <w:rPr>
            <w:rFonts w:ascii="PT Astra Serif" w:hAnsi="PT Astra Serif"/>
            <w:sz w:val="28"/>
            <w:szCs w:val="28"/>
          </w:rPr>
          <w:t>Указом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Президента Российской Федерации от 28 июля 2012 года N 1062 "О мерах государственной поддержки муниципальных учреждений культуры, находящихся на территориях сельских поселений, и их работников";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ПрФБ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предельный уровень софинансирования расходного обязательства области из федерального бюджета.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Конкурсный отбор в части государственной поддержки лучших работников муниципальных учреждений культуры, находящихся на территориях сельских поселений, и лучших муниципальных учреждений культуры, находящимся на территориях сельских поселений, осуществляется Министерством на основании конкурсного отбора в соответствии с </w:t>
      </w:r>
      <w:hyperlink r:id="rId131">
        <w:r w:rsidRPr="00145A53">
          <w:rPr>
            <w:rFonts w:ascii="PT Astra Serif" w:hAnsi="PT Astra Serif"/>
            <w:sz w:val="28"/>
            <w:szCs w:val="28"/>
          </w:rPr>
          <w:t>Правилами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предоставления и распределения субсидии из федерального бюджета бюджетам субъектов Российской Федерации на поддержку отрасли культуры, утвержденными постановлением Правительства Российской Федерации от 15 апреля 2014 года N 317.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13. Утратил силу. - </w:t>
      </w:r>
      <w:hyperlink r:id="rId132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14. Утратил силу. - </w:t>
      </w:r>
      <w:hyperlink r:id="rId133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11.02.2026 N 79-П.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15. Перечисление субсидии бюджетам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осуществления и отражения операций по учету и распределению поступлений.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субсидий из областного бюджета местным бюджетам осуществляется в порядке, установленном Федеральным казначейством.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16. Субсидия предоставляется на основании соглашения единовременно в течение 30 календарных дней со дня открытия на соответствующем лицевом счете УФК предельных объемов оплаты денежных обязательств, источником финансового обеспечения которых является соответствующая </w:t>
      </w:r>
      <w:r w:rsidRPr="00145A53">
        <w:rPr>
          <w:rFonts w:ascii="PT Astra Serif" w:hAnsi="PT Astra Serif"/>
          <w:sz w:val="28"/>
          <w:szCs w:val="28"/>
        </w:rPr>
        <w:lastRenderedPageBreak/>
        <w:t>субсидия из федерального бюджета.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17. Субсидия носит целевой характер и не подлежит направлению на иные цели.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18. Органы местного самоуправления муниципальных образований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34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19.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20. Порядок представления отчетности об осуществлении расходов местного бюджета, в целях софинансирования которых предоставляется субсидия, устанавливаются в соглашении.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21. Результатами использования субсидии являются: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количество оснащенных образовательных организаций в сфере культуры (детских школ искусств и училищ) музыкальными инструментами, оборудованием и учебными материалами;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35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11.02.2026 N 79-П)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количество лучших работников сельских учреждений культуры, которым оказана государственная поддержка в виде денежного поощрения;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в) количество лучших сельских учреждений культуры, которым оказана государственная поддержка в виде денежного поощрения;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г) утратил силу. - </w:t>
      </w:r>
      <w:hyperlink r:id="rId136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11.02.2026 N 79-П.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(п. 21 в ред. </w:t>
      </w:r>
      <w:hyperlink r:id="rId137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2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ПОРЯДОК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СУБСИДИИ БЮДЖЕТАМ МУНИЦИПАЛЬНЫХ РАЙОНОВ ОБЛАСТИ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 ОБЕСПЕЧЕНИЕ РАЗВИТИЯ И УКРЕПЛЕНИЯ МАТЕРИАЛЬНО-ТЕХНИЧЕСКОЙ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БАЗЫ ДОМОВ КУЛЬТУРЫ В НАСЕЛЕННЫХ ПУНКТАХ С ЧИСЛОМ ЖИТЕЛЕЙ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ДО 50 ТЫС. ЧЕЛОВЕК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38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 07.11.2025 N 828-П)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1. Настоящий Порядок определяет цели и условия предоставления из областного бюджета субсидии бюджетам муниципальных районов области (далее - муниципальные образования области) на обеспечение развития и укрепления материально-технической базы домов культуры в населенных пунктах с числом жителей до 50 тыс. человек (далее - субсидия), критерии отбора муниципальных образований области для предоставления субсидии и методику ее распределения между муниципальными образованиями области в рамках реализации регионального проекта "Развитие культурной инфраструктуры" государственной программы Саратовской области "Культура Саратовской области".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39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2. Субсидия предоставляется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культуры области (далее - Министерство) на софинансирование расходных обязательств муниципальных образований области на обеспечение развития и укрепления материально-технической базы домов культуры в населенных пунктах с числом жителей до 50 тыс. человек (далее - муниципальные дома культуры) в целях реализации мероприятий, направленных на: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ремонтные работы (текущий ремонт) в отношении зданий муниципальных домов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развитие и укрепление материально-технической базы муниципальных домов культуры.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3. Условием предоставления субсидии бюджету муниципального </w:t>
      </w:r>
      <w:r w:rsidRPr="00145A53">
        <w:rPr>
          <w:rFonts w:ascii="PT Astra Serif" w:hAnsi="PT Astra Serif"/>
          <w:sz w:val="28"/>
          <w:szCs w:val="28"/>
        </w:rPr>
        <w:lastRenderedPageBreak/>
        <w:t xml:space="preserve">образования является заключение соглашения между Министерством и органом местного самоуправления муниципального образования области о предоставлении субсидии, заключаемого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140">
        <w:r w:rsidRPr="00145A53">
          <w:rPr>
            <w:rFonts w:ascii="PT Astra Serif" w:hAnsi="PT Astra Serif"/>
            <w:sz w:val="28"/>
            <w:szCs w:val="28"/>
          </w:rPr>
          <w:t>подпункта "л(1)" пункта 10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999, (далее - Соглашение), предусматривающего обязательства муниципального образования области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4. Отбор муниципальных образований области для предоставления субсидии осуществляется Министерством по следующим критериям: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заявок в свободной форме от органов местного самоуправления муниципальных образований области на предоставление субсидии за счет средств областного бюджета;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муниципальной программы, предусматривающей мероприятия на развитие и укрепление материально-технической базы муниципальных домов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для модернизации материально-технической базы муниципальных домов культуры: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рост числа участников мероприятий в муниципальных домах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отремонтированных зданий муниципальных домов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укомплектованный штат специалистами культурно-досуговой деятельности;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для выполнения ремонтных работ (текущий ремонт):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сметной документации на проведение работ;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рост числа участников мероприятий в муниципальных домах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укомплектованный штат специалистами культурно-досуговой деятельности.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5. Размер субсидии, предоставляемой бюджету муниципального образования области,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S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= 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x (P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/ 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>),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S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- объем субсидии из областного бюджета, предоставляемой бюджету i-го муниципального образования области на обеспечение развития и укрепления материально-технической базы муниципальных домов культуры в населенных пунктах с числом жителей до 50 тыс. человек;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- объем средств, предусмотренных в областном бюджете на софинансирование мероприятий муниципальных программ, предусматривающих обеспечение развития и укрепления материально-технической базы муниципальных домов культуры в населенных пунктах с числом жителей до 50 тыс. человек;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- потребность i-го муниципального образования области в средствах областного бюджета на обеспечение развития и укрепления материально-технической базы муниципальных домов культуры в населенных пунктах с числом жителей до 50 тыс. человек согласно заявке органа местного самоуправления муниципального образования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 xml:space="preserve"> - потребность в целом всех муниципальных образований области в средствах областного бюджета на обеспечение развития и укрепления материально-технической базы муниципальных домов культуры в населенных пунктах с числом жителей до 50 тыс. человек согласно заявкам органов местного самоуправления муниципальных образований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6. Размер субсидии, предоставляемой бюджету i-го муниципального образования области на реализацию мероприятий на софинансирование расходных обязательств муниципальных образований области на обеспечение развития и укрепления материально-технической базы домов культуры в населенных пунктах с числом жителей до 50 тыс. человек, предусматривается в областном бюджете в соответствии </w:t>
      </w:r>
      <w:hyperlink r:id="rId141">
        <w:r w:rsidRPr="00145A53">
          <w:rPr>
            <w:rFonts w:ascii="PT Astra Serif" w:hAnsi="PT Astra Serif"/>
            <w:sz w:val="28"/>
            <w:szCs w:val="28"/>
          </w:rPr>
          <w:t>распоряжением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Российской Федерации от 11 сентября 2024 года N 2475-р.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42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7. Перечисление субсидии бюджетам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осуществления и отражения операций по учету и распределению поступлений.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субсидий из областного бюджета местным бюджетам осуществляется в порядке, установленном Федеральным казначейством.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8. Перечисление субсидии бюджетам муниципальных образований области осуществляется на основании Соглашения не позднее 1 ноября текущего года.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9. Субсидия носит целевой характер и не подлежит направлению на иные цели.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10. Органы местного самоуправления муниципальных районов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43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11.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12. Порядок представления отчетности об осуществлении расходов местного бюджета, в целях софинансирования которых предоставляется субсидия, устанавливаются в Соглашении.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13. Результатом использования субсидии является количество муниципальных учреждений культурно-досугового типа в населенных пунктах с числом жителей до 50 тыс. человек, в том числе их филиалов, которыми реализованы мероприятия по развитию и укреплению материально-технической базы домов культуры.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(п. 13 в ред. </w:t>
      </w:r>
      <w:hyperlink r:id="rId144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3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ПОРЯДОК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СУБСИДИИ БЮДЖЕТАМ МУНИЦИПАЛЬНЫХ РАЙОНОВ ОБЛАСТИ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 ПОДДЕРЖКУ ТВОРЧЕСКОЙ ДЕЯТЕЛЬНОСТИ И УКРЕПЛЕНИЕ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МАТЕРИАЛЬНО-ТЕХНИЧЕСКОЙ БАЗЫ МУНИЦИПАЛЬНЫХ ТЕАТРОВ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НАСЕЛЕННЫХ ПУНКТАХ С ЧИСЛЕННОСТЬЮ НАСЕЛЕНИЯ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ДО 300 ТЫС. ЧЕЛОВЕК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 xml:space="preserve">Утратил силу. - </w:t>
      </w:r>
      <w:hyperlink r:id="rId145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11.02.2026 N 79-П.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4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ПОРЯДОК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СУБСИДИИ БЮДЖЕТАМ ГОРОДСКИХ ОКРУГОВ И ПОСЕЛЕНИЙ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ОБЛАСТИ НА ПОДДЕРЖКУ ТВОРЧЕСКОЙ ДЕЯТЕЛЬНОСТИ И ТЕХНИЧЕСКОЕ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ОСНАЩЕНИЕ ДЕТСКИХ И КУКОЛЬНЫХ ТЕАТРОВ, РАСПОЛОЖЕННЫХ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 ТЕРРИТОРИИ САРАТОВСКОЙ ОБЛАСТИ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 силу. - </w:t>
      </w:r>
      <w:hyperlink r:id="rId146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11.02.2026 N 79-П.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5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ПОРЯДОК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СУБСИДИИ БЮДЖЕТАМ МУНИЦИПАЛЬНЫХ РАЙОНОВ, ГОРОДСКИХ ОКРУГОВ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ПОСЕЛЕНИЙ ОБЛАСТИ НА ПОДДЕРЖКУ ОТРАСЛИ КУЛЬТУРЫ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(МОДЕРНИЗАЦИЯ БИБЛИОТЕК В ЧАСТИ КОМПЛЕКТОВАНИЯ КНИЖНЫХ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ФОНДОВ БИБЛИОТЕК МУНИЦИПАЛЬНЫХ РАЙОНОВ, ГОРОДСКИХ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ОКРУГОВ И ПОСЕЛЕНИЙ)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47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 07.11.2025 N 828-П)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1. Настоящий Порядок определяет цели и условия предоставления из областного бюджета субсидии бюджетам муниципальных районов, городских округов и поселений области (далее - муниципальные образования области) на реализацию мероприятий на поддержку отрасли культуры (модернизация библиотек в части комплектования книжных фондов библиотек муниципальных районов, городских округов и поселений) муниципальных образований области (далее - субсидия), критерии отбора муниципальных образований области для предоставления субсидии и методику ее распределения между муниципальными образованиями области в рамках реализации регионального проекта "Сохранение культурного и исторического наследия" государственной программы Саратовской области "Культура Саратовской области".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48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500"/>
      <w:bookmarkEnd w:id="3"/>
      <w:r w:rsidRPr="00145A53">
        <w:rPr>
          <w:rFonts w:ascii="PT Astra Serif" w:hAnsi="PT Astra Serif"/>
          <w:sz w:val="28"/>
          <w:szCs w:val="28"/>
        </w:rPr>
        <w:t>2. В настоящем Порядке под муниципальными учреждениями культуры, находящимися на территориях сельских поселений, понимаются муниципальные учреждения культуры (их обособленные подразделения), расположенные на сельских территориях.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 сельскими территориями понимаются сельские поселения или сельские поселения и межселенные территории, объединенные общей территорией в границах муниципального района и поселения, сельские населенные пункты и рабочие поселки, входящие в состав городских поселений, городских округов (за исключением муниципального образования "Город Саратов"), рабочие поселки, наделенные статусом городских поселений.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Перечень сельских населенных пунктов и рабочих поселков на территории Саратовской области утверждается правовым актом Правительства Саратовской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3. Субсидия предоставляется из областного бюджета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культуры области (далее - Министерство) в целях софинансирования расходных обязательств муниципальных образований области на поддержку отрасли культуры (модернизация библиотек в части комплектования книжных фондов библиотек муниципальных районов, городских округов и поселений) </w:t>
      </w:r>
      <w:r w:rsidRPr="00145A53">
        <w:rPr>
          <w:rFonts w:ascii="PT Astra Serif" w:hAnsi="PT Astra Serif"/>
          <w:sz w:val="28"/>
          <w:szCs w:val="28"/>
        </w:rPr>
        <w:lastRenderedPageBreak/>
        <w:t>муниципальных образований.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49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4. Условием предоставления субсидии бюджету муниципального образования является заключение соглашения между Министерством и органом местного самоуправления муниципального образования области о предоставлении субсидии, заключаемого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150">
        <w:r w:rsidRPr="00145A53">
          <w:rPr>
            <w:rFonts w:ascii="PT Astra Serif" w:hAnsi="PT Astra Serif"/>
            <w:sz w:val="28"/>
            <w:szCs w:val="28"/>
          </w:rPr>
          <w:t>подпункта "л(1)" пункта 10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999, (далее - Соглашение), предусматривающего обязательства муниципального образования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5. Отбор муниципальных образований области для предоставления субсидии осуществляется Министерством по следующим критериям: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в муниципальном образовании области общедоступных библиотек, нуждающихся в обеспечении комплектования их фондов;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наличие муниципальной программы, предусматривающей мероприятия по поддержке отрасли культуры (модернизация библиотек в части комплектования книжных фондов библиотек муниципальных районов, городских округов и поселений) муниципальных образований области, указанных в </w:t>
      </w:r>
      <w:hyperlink w:anchor="P500">
        <w:r w:rsidRPr="00145A53">
          <w:rPr>
            <w:rFonts w:ascii="PT Astra Serif" w:hAnsi="PT Astra Serif"/>
            <w:sz w:val="28"/>
            <w:szCs w:val="28"/>
          </w:rPr>
          <w:t>пункте 2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настоящего Порядка.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51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6. Размер субсидии, предоставляемой бюджету муниципального образования области,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noProof/>
          <w:position w:val="-8"/>
          <w:sz w:val="28"/>
          <w:szCs w:val="28"/>
        </w:rPr>
        <w:drawing>
          <wp:inline distT="0" distB="0" distL="0" distR="0" wp14:anchorId="261E4E1D" wp14:editId="73A78620">
            <wp:extent cx="1341120" cy="25146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</w:t>
      </w:r>
      <w:r w:rsidRPr="00145A53">
        <w:rPr>
          <w:rFonts w:ascii="PT Astra Serif" w:hAnsi="PT Astra Serif"/>
          <w:sz w:val="28"/>
          <w:szCs w:val="28"/>
          <w:vertAlign w:val="subscript"/>
        </w:rPr>
        <w:t>Чi</w:t>
      </w:r>
      <w:r w:rsidRPr="00145A53">
        <w:rPr>
          <w:rFonts w:ascii="PT Astra Serif" w:hAnsi="PT Astra Serif"/>
          <w:sz w:val="28"/>
          <w:szCs w:val="28"/>
        </w:rPr>
        <w:t xml:space="preserve"> - доля численности населения i-го муниципального образования области,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noProof/>
          <w:position w:val="-22"/>
          <w:sz w:val="28"/>
          <w:szCs w:val="28"/>
        </w:rPr>
        <w:drawing>
          <wp:inline distT="0" distB="0" distL="0" distR="0" wp14:anchorId="6B57B571" wp14:editId="1ED89907">
            <wp:extent cx="1414780" cy="429895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Ч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численность населения i-го муниципального образования области на 1 января года, предыдущего расчетному году;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Ч - общая численность населения области на 1 января года, предыдущего расчетному году, без учета численности населения муниципальных образований области, в которых отсутствуют общедоступные библиотеки;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noProof/>
          <w:position w:val="-8"/>
          <w:sz w:val="28"/>
          <w:szCs w:val="28"/>
        </w:rPr>
        <w:drawing>
          <wp:inline distT="0" distB="0" distL="0" distR="0" wp14:anchorId="24F47066" wp14:editId="5088D032">
            <wp:extent cx="367030" cy="251460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5A53">
        <w:rPr>
          <w:rFonts w:ascii="PT Astra Serif" w:hAnsi="PT Astra Serif"/>
          <w:sz w:val="28"/>
          <w:szCs w:val="28"/>
        </w:rPr>
        <w:t xml:space="preserve"> - сумма средств, подлежащих распределению в муниципальные образования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noProof/>
          <w:position w:val="-8"/>
          <w:sz w:val="28"/>
          <w:szCs w:val="28"/>
        </w:rPr>
        <w:drawing>
          <wp:inline distT="0" distB="0" distL="0" distR="0" wp14:anchorId="352BF661" wp14:editId="7297AB0C">
            <wp:extent cx="209550" cy="25146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предоставляемой бюджету муниципального образования и (или) городского округа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7. Размер субсидии, предоставляемой бюджету i-го муниципального образования области на реализацию мероприятий на софинансирование расходных обязательств муниципальных образований области на реализацию мероприятий по поддержке отрасли культуры (модернизация библиотек в части комплектования книжных фондов библиотек муниципальных районов, городских округов и поселений) муниципальных образований области предусматривается в областном бюджете в соответствии </w:t>
      </w:r>
      <w:hyperlink r:id="rId156">
        <w:r w:rsidRPr="00145A53">
          <w:rPr>
            <w:rFonts w:ascii="PT Astra Serif" w:hAnsi="PT Astra Serif"/>
            <w:sz w:val="28"/>
            <w:szCs w:val="28"/>
          </w:rPr>
          <w:t>распоряжением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Российской Федерации от 11 сентября 2024 года N 2475-р.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57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8. Перечисление субсидии бюджетам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осуществления и отражения операций по учету и распределению поступлений.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субсидий из областного бюджета местным бюджетам осуществляется в порядке, установленном Федеральным казначейством.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9. Предоставление субсидии бюджетам муниципальных образований области производится единовременно на основании Соглашения в течение 30 календарных дней со дня открытия на соответствующем лицевом счете в УФК предельных объемов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10. Субсидия носит целевой характер и не подлежит направлению на иные цели.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11. Органы местного самоуправления муниципальных образований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12.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13. Порядок представления отчетности об осуществлении расходов местного бюджета, в целях софинансирования которых предоставляется субсидия, а также о достижении значений результатов использования субсидии, устанавливаются в Соглашении.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14. Результатом использования субсидии является количество проведенных мероприятий по модернизации библиотек в части комплектования книжных фондов библиотек муниципальных образований области.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(п. 14 в ред. </w:t>
      </w:r>
      <w:hyperlink r:id="rId158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6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ПРАВИЛА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И РАСПРЕДЕЛЕНИЯ СУБСИДИЙ ИЗ ОБЛАСТНОГО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БЮДЖЕТА БЮДЖЕТАМ МУНИЦИПАЛЬНЫХ РАЙОНОВ, ГОРОДСКИХ ОКРУГОВ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ПОСЕЛЕНИЙ ОБЛАСТИ НА СОЗДАНИЕ МОДЕЛЬНЫХ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МУНИЦИПАЛЬНЫХ БИБЛИОТЕК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16.02.2024 </w:t>
            </w:r>
            <w:hyperlink r:id="rId159">
              <w:r w:rsidRPr="00145A53">
                <w:rPr>
                  <w:rFonts w:ascii="PT Astra Serif" w:hAnsi="PT Astra Serif"/>
                  <w:sz w:val="28"/>
                  <w:szCs w:val="28"/>
                </w:rPr>
                <w:t>N 97-П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07.11.2025 </w:t>
            </w:r>
            <w:hyperlink r:id="rId160">
              <w:r w:rsidRPr="00145A53">
                <w:rPr>
                  <w:rFonts w:ascii="PT Astra Serif" w:hAnsi="PT Astra Serif"/>
                  <w:sz w:val="28"/>
                  <w:szCs w:val="28"/>
                </w:rPr>
                <w:t>N 828-П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552"/>
      <w:bookmarkEnd w:id="4"/>
      <w:r w:rsidRPr="00145A53">
        <w:rPr>
          <w:rFonts w:ascii="PT Astra Serif" w:hAnsi="PT Astra Serif"/>
          <w:sz w:val="28"/>
          <w:szCs w:val="28"/>
        </w:rPr>
        <w:t xml:space="preserve">1. Настоящие Правила устанавливают цели, условия и порядок предоставления субсидий из областного бюджета бюджетам муниципальных районов, городских округов и поселений области на создание модельных муниципальных библиотек (далее соответственно - муниципальные образования области, субсидия) в целях софинансирования расходных обязательств, возникающих при реализации регионального проекта "Семейные ценности и инфраструктура культуры", и предусматривающих мероприятия, связанные с созданием модельных муниципальных библиотек </w:t>
      </w:r>
      <w:r w:rsidRPr="00145A53">
        <w:rPr>
          <w:rFonts w:ascii="PT Astra Serif" w:hAnsi="PT Astra Serif"/>
          <w:sz w:val="28"/>
          <w:szCs w:val="28"/>
        </w:rPr>
        <w:lastRenderedPageBreak/>
        <w:t>путем модернизации деятельности муниципальных библиотек и внедрения в них эффективных моделей управления, направленных на повышение качества предоставляемого ими библиотечно-информационного обслуживания.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61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2. Понятия, используемые в настоящих Правилах: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библиотеки - победители - малые и центральные библиотеки, заявки которых победили в отборе субъектов Российской Федерации для предоставления субсидий, проводимом Министерством культуры Российской Федерации в соответствии с </w:t>
      </w:r>
      <w:hyperlink r:id="rId162">
        <w:r w:rsidRPr="00145A53">
          <w:rPr>
            <w:rFonts w:ascii="PT Astra Serif" w:hAnsi="PT Astra Serif"/>
            <w:sz w:val="28"/>
            <w:szCs w:val="28"/>
          </w:rPr>
          <w:t>Правилами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проведения отбора субъектов Российской Федерации для предоставления субсидий из федерального бюджета бюджетам субъектов Российской Федерации на создание модельных муниципальных библиотек согласно приложению N 1 к Правилам предоставления субсидий из федерального бюджета бюджетам субъектов Российской Федерации на создание модельных муниципальных библиотек, предусмотренных приложением N 33 к государственной программе Российской Федерации "Развитие культуры", утвержденной постановлением Правительства Российской Федерации от 15 апреля 2014 года N 317 "Об утверждении государственной программы Российской Федерации "Развитие культуры" (далее - Правила предоставления субсидий);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малая библиотека - муниципальная библиотека, библиотека - филиал, структурное подразделение муниципальной библиотеки, библиотека - филиал, структурное подразделение центральной районной библиотеки, центральной городской библиотеки или централизованной библиотечной системы;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модельная муниципальная библиотека - муниципальная библиотека, оснащенная высокоскоростным широкополосным доступом к информационно-телекоммуникационной сети Интернет (далее - сеть Интернет), доступом к современным отечественным информационным ресурсам научного и художественного содержания на различных носителях, использующая в своей работе новейшие информационные технологии, функционирующая как открытое общественное, культурное, информационное, просветительское пространство, комфортное место для индивидуальной или коллективной работы и творческой самореализации, в том числе для лиц с ограниченными возможностями здоровья;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победители отбора - муниципальные образования области, победившие в отборе;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создание модельных муниципальных библиотек - комплекс мероприятий, осуществляемый при модернизации муниципальных (малых и (или) центральных) библиотек и включающий требования, предусмотренные </w:t>
      </w:r>
      <w:hyperlink w:anchor="P564">
        <w:r w:rsidRPr="00145A53">
          <w:rPr>
            <w:rFonts w:ascii="PT Astra Serif" w:hAnsi="PT Astra Serif"/>
            <w:sz w:val="28"/>
            <w:szCs w:val="28"/>
          </w:rPr>
          <w:t>пунктом 5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настоящих Правил;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центральная библиотека - муниципальная библиотека, имеющая статус центральной районной библиотеки или центральной городской библиотеки, в том числе входящая в централизованную библиотечную систему, осуществляющая функции, определенные в </w:t>
      </w:r>
      <w:hyperlink r:id="rId163">
        <w:r w:rsidRPr="00145A53">
          <w:rPr>
            <w:rFonts w:ascii="PT Astra Serif" w:hAnsi="PT Astra Serif"/>
            <w:sz w:val="28"/>
            <w:szCs w:val="28"/>
          </w:rPr>
          <w:t>пункте 2 статьи 20</w:t>
        </w:r>
      </w:hyperlink>
      <w:r w:rsidRPr="00145A53">
        <w:rPr>
          <w:rFonts w:ascii="PT Astra Serif" w:hAnsi="PT Astra Serif"/>
          <w:sz w:val="28"/>
          <w:szCs w:val="28"/>
        </w:rPr>
        <w:t xml:space="preserve"> Федерального закона "О библиотечном деле".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3. Субсидия предоставляется бюджетам муниципальных образований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культуры области (далее - министерство) на цели, указанные в </w:t>
      </w:r>
      <w:hyperlink w:anchor="P552">
        <w:r w:rsidRPr="00145A53">
          <w:rPr>
            <w:rFonts w:ascii="PT Astra Serif" w:hAnsi="PT Astra Serif"/>
            <w:sz w:val="28"/>
            <w:szCs w:val="28"/>
          </w:rPr>
          <w:t>пункте 1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настоящих Правил.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4. Отбор проводится на основании результатов оценки заявок на участие в отборе субъектов Российской Федерации для предоставления субсидий из федерального бюджета бюджетам субъектов Российской Федерации на создание модельных муниципальных библиотек согласно </w:t>
      </w:r>
      <w:hyperlink r:id="rId164">
        <w:r w:rsidRPr="00145A53">
          <w:rPr>
            <w:rFonts w:ascii="PT Astra Serif" w:hAnsi="PT Astra Serif"/>
            <w:sz w:val="28"/>
            <w:szCs w:val="28"/>
          </w:rPr>
          <w:t>приложению N 2</w:t>
        </w:r>
      </w:hyperlink>
      <w:r w:rsidRPr="00145A53">
        <w:rPr>
          <w:rFonts w:ascii="PT Astra Serif" w:hAnsi="PT Astra Serif"/>
          <w:sz w:val="28"/>
          <w:szCs w:val="28"/>
        </w:rPr>
        <w:t xml:space="preserve"> к Правилам предоставления субсидий.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Отбор проводится в году, предшествующем году предоставления субсидии.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5" w:name="P564"/>
      <w:bookmarkEnd w:id="5"/>
      <w:r w:rsidRPr="00145A53">
        <w:rPr>
          <w:rFonts w:ascii="PT Astra Serif" w:hAnsi="PT Astra Serif"/>
          <w:sz w:val="28"/>
          <w:szCs w:val="28"/>
        </w:rPr>
        <w:t>5. Создание модельных муниципальных библиотек включает в себя следующие требования: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обеспечение доступа пользователей муниципальной библиотеки к современным отечественным информационным ресурсам научного и художественного содержания, оцифрованным ресурсам периодической печати;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оснащение муниципальных библиотек высокоскоростным широкополосным доступом к сети Интернет;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в) создание точек доступа к федеральной государственной информационной системе "Национальная электронная библиотека";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г) создание современного библиотечного пространства;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д) формирование и поддержка деятельности дискуссионных клубов, кружков и консультационных пунктов;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е) регулярное проведение культурно-просветительских, социально значимых и образовательных мероприятий для всех возрастных групп пользователей муниципальной библиотеки и населения, обслуживаемых ею;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ж) профессиональная переподготовка и повышение квалификации основного персонала муниципальной библиотеки.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 xml:space="preserve">6. Субсидия предоставляется муниципальным образованиям области, в которых имеются муниципальные библиотеки, прошедшие отбор на получение субсидии в соответствии с </w:t>
      </w:r>
      <w:hyperlink r:id="rId165">
        <w:r w:rsidRPr="00145A53">
          <w:rPr>
            <w:rFonts w:ascii="PT Astra Serif" w:hAnsi="PT Astra Serif"/>
            <w:sz w:val="28"/>
            <w:szCs w:val="28"/>
          </w:rPr>
          <w:t>приложениями N 1</w:t>
        </w:r>
      </w:hyperlink>
      <w:r w:rsidRPr="00145A53">
        <w:rPr>
          <w:rFonts w:ascii="PT Astra Serif" w:hAnsi="PT Astra Serif"/>
          <w:sz w:val="28"/>
          <w:szCs w:val="28"/>
        </w:rPr>
        <w:t xml:space="preserve">, </w:t>
      </w:r>
      <w:hyperlink r:id="rId166">
        <w:r w:rsidRPr="00145A53">
          <w:rPr>
            <w:rFonts w:ascii="PT Astra Serif" w:hAnsi="PT Astra Serif"/>
            <w:sz w:val="28"/>
            <w:szCs w:val="28"/>
          </w:rPr>
          <w:t>2</w:t>
        </w:r>
      </w:hyperlink>
      <w:r w:rsidRPr="00145A53">
        <w:rPr>
          <w:rFonts w:ascii="PT Astra Serif" w:hAnsi="PT Astra Serif"/>
          <w:sz w:val="28"/>
          <w:szCs w:val="28"/>
        </w:rPr>
        <w:t xml:space="preserve"> к Правилам предоставления субсидий.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7. Условиями предоставления субсидии являются: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наличие правового акта муниципального образования области, утверждающего перечень мероприятий (результатов), при реализации которых возникают расходные обязательства муниципального образования области, в целях софинансирования которых предоставляется субсидия;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заключение соглашения о предоставлении субсидии между министерством и муниципальным образованием области (далее - соглашение);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в) определение заказчиками при капитальном ремонте и (или) реконструкции муниципальных организаций культуры, финансовое обеспечение которых частично или полностью осуществляется за счет субсидии, органов местного самоуправления или специализированных учреждений в сфере строительства;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(пп. "в" введен </w:t>
      </w:r>
      <w:hyperlink r:id="rId167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г) централизация закупок товаров, финансовое обеспечение которых частично или полностью осуществляется за счет субсидии.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(пп. "г" введен </w:t>
      </w:r>
      <w:hyperlink r:id="rId168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8. Предоставление субсидии из областного бюджета осуществляется на основании соглашения, заключенного с использованием государственной интегрированной информационной системы управления общественными финансами "Электронный бюджет", подготавливаемого (формируемого) в соответствии с требованиями, установленными правилами, предусмотренными </w:t>
      </w:r>
      <w:hyperlink r:id="rId169">
        <w:r w:rsidRPr="00145A53">
          <w:rPr>
            <w:rFonts w:ascii="PT Astra Serif" w:hAnsi="PT Astra Serif"/>
            <w:sz w:val="28"/>
            <w:szCs w:val="28"/>
          </w:rPr>
          <w:t>абзацем первым пункта 3 статьи 132</w:t>
        </w:r>
      </w:hyperlink>
      <w:r w:rsidRPr="00145A53">
        <w:rPr>
          <w:rFonts w:ascii="PT Astra Serif" w:hAnsi="PT Astra Serif"/>
          <w:sz w:val="28"/>
          <w:szCs w:val="28"/>
        </w:rPr>
        <w:t xml:space="preserve"> Бюджетного кодекса Российской Федерации.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9. Оценка эффективности использования субсидий осуществляется министерством на основании сравнения фактически достигнутого значения результата использования субсидии и установленного соглашением планового значения результата использования субсидии.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10. Результатом использования субсидии является количество переоснащенных муниципальных библиотек по модельному стандарту.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70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11. При создании модельных муниципальных библиотек: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а) за счет средств субсидии софинансируются расходные обязательства: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 созданию современного библиотечного пространства (в том числе пополнение фондов муниципальных библиотек новыми книжными, периодическими изданиями, проведение текущих ремонтных работ, необходимых для реализации проекта, оснащение мебелью, а также приспособление внутреннего пространства библиотеки к потребностям пользователей, включая создание условий для библиотечно-информационного обслуживания лиц с ограниченными возможностями здоровья);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71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 внедрению информационных систем в работу муниципальной библиотеки с пользователями, а также по обеспечению возможности предоставления пользователям современных централизованных библиотечно-информационных сервисов;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 приобретению оборудования и технических средств, необходимых для осуществления работы библиотеки (включая доставку, погрузочно-разгрузочные работы, монтаж, установку, а также пусконаладочные работы);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(абзац введен </w:t>
      </w:r>
      <w:hyperlink r:id="rId172">
        <w:r w:rsidRPr="00145A5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 оснащению муниципальных библиотек необходимым оборудованием для обеспечения высокоскоростного широкополосного доступа к сети Интернет, в том числе для посетителей;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 обеспечению доступа к отечественным информационным ресурсам научного и художественного содержания, оцифрованным ресурсам периодической печати;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 созданию точки доступа к федеральной государственной информационной системе "Национальная электронная библиотека";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 приобретению необходимого оборудования для обеспечения доступа к информационным ресурсам;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 обеспечению профессиональной переподготовки и повышения квалификации основного персонала муниципальной библиотеки, включая оплату образовательных услуг, проезд и проживание основного персонала для прохождения обучения;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за счет средств местного бюджета без софинансирования осуществляются: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канала муниципальной библиотеки для высокоскоростного широкополосного доступа к сети Интернет;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проведение капитального ремонта или реконструкции зданий и (или) помещений муниципальной библиотеки.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12. Размер субсидии, предоставляемой бюджету i-го муниципального образования (С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) (тыс. рублей),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noProof/>
          <w:position w:val="-31"/>
          <w:sz w:val="28"/>
          <w:szCs w:val="28"/>
        </w:rPr>
        <w:drawing>
          <wp:inline distT="0" distB="0" distL="0" distR="0" wp14:anchorId="333C786B" wp14:editId="31E46F3F">
            <wp:extent cx="2755900" cy="53467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S - общий объем бюджетных ассигнований, предусмотренных в областном бюджете на предоставление субсидий на соответствующий финансовый год;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заявленная потребность i-го муниципального образования области на создание модельных муниципальных библиотек;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Вs - потребность малой библиотеки при создании модельной муниципальной библиотеки в бюджетных ассигнованиях областного бюджета в размере 8 млн. рублей;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nS - количество малых библиотек муниципального образования области, признанных библиотеками - победителями;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Вс - потребность центральной библиотеки при создании модельной муниципальной библиотеки в бюджетных ассигнованиях областного бюджета в размере 15 млн. рублей;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nС - количество центральных библиотек муниципального образования области, признанных библиотеками - победителями;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i - порядковый номер i-го муниципального образования области, используемый в рамках процедуры предоставления и распределения субсидий;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- коэффициент обеспеченности субсидии, предоставляемой из областного бюджета.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Коэффициент обеспеченности субсидии, предоставляемой из областного бюджета,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noProof/>
          <w:position w:val="-27"/>
          <w:sz w:val="28"/>
          <w:szCs w:val="28"/>
        </w:rPr>
        <w:drawing>
          <wp:inline distT="0" distB="0" distL="0" distR="0" wp14:anchorId="4913577F" wp14:editId="061091A9">
            <wp:extent cx="974725" cy="492760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 - общий объем субсидии, предусмотренной в областном бюджете на указанные цели;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R</w:t>
      </w:r>
      <w:r w:rsidRPr="00145A53">
        <w:rPr>
          <w:rFonts w:ascii="PT Astra Serif" w:hAnsi="PT Astra Serif"/>
          <w:sz w:val="28"/>
          <w:szCs w:val="28"/>
          <w:vertAlign w:val="subscript"/>
        </w:rPr>
        <w:t>общ</w:t>
      </w:r>
      <w:r w:rsidRPr="00145A53">
        <w:rPr>
          <w:rFonts w:ascii="PT Astra Serif" w:hAnsi="PT Astra Serif"/>
          <w:sz w:val="28"/>
          <w:szCs w:val="28"/>
        </w:rPr>
        <w:t xml:space="preserve"> - общая расчетная потребность муниципального образования </w:t>
      </w:r>
      <w:r w:rsidRPr="00145A53">
        <w:rPr>
          <w:rFonts w:ascii="PT Astra Serif" w:hAnsi="PT Astra Serif"/>
          <w:sz w:val="28"/>
          <w:szCs w:val="28"/>
        </w:rPr>
        <w:lastRenderedPageBreak/>
        <w:t xml:space="preserve">области в средствах областного бюджета без учета доли местного бюджета на выполнение работ по осуществлению мероприятий по созданию модельных муниципальных библиотек в целях реализации национального </w:t>
      </w:r>
      <w:hyperlink r:id="rId175">
        <w:r w:rsidRPr="00145A53">
          <w:rPr>
            <w:rFonts w:ascii="PT Astra Serif" w:hAnsi="PT Astra Serif"/>
            <w:sz w:val="28"/>
            <w:szCs w:val="28"/>
          </w:rPr>
          <w:t>проекта</w:t>
        </w:r>
      </w:hyperlink>
      <w:r w:rsidRPr="00145A53">
        <w:rPr>
          <w:rFonts w:ascii="PT Astra Serif" w:hAnsi="PT Astra Serif"/>
          <w:sz w:val="28"/>
          <w:szCs w:val="28"/>
        </w:rPr>
        <w:t xml:space="preserve"> "Семья";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76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если К &lt;= 1, то он принимается равным рассчитанному значению;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если К &gt; 1, то он принимается равным 1.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13. Перечисление субсидии бюджетам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осуществления и отражения операций по учету и распределению поступлений.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порядке, установленном Федеральным казначейством.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14. Предоставление субсидии бюджетам муниципальных образований области производится единовременно на основании соглашения о предоставлении субсидии, заключенного между министерством и органом местного самоуправления муниципального образования в течение 20 рабочих дней со дня открытия на соответствующем лицевом счете УФК предельных объемов оплаты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15. Субсидия носит целевой характер и не подлежит направлению на иные цели.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16. Органы местного самоуправления муниципальных образований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Порядок предоставления отчетности об осуществлении расходов местного бюджета, в целях софинансирования которых предоставляется субсидия, а также о достижении значения результата использования субсидии устанавливается в соглашении.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17. В случае нарушения муниципальным образованием области целей, установленных при предоставлении субсидии, применяются бюджетные меры принуждения, предусмотренные бюджетным законодательством Российской Федерации.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18. Порядок и условия возврата средств из бюджета муниципального образования области в областной бюджет в случае нарушения муниципальным образованием области обязательств, предусмотренных соглашением, а также основание для освобождения муниципального образования области от применения мер финансовой ответственности установлены законодательством.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19. Контроль за соблюдением муниципальным образованием области условий предоставления субсидии осуществляется министерством и уполномоченными органами государственного финансового контроля.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7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ПРАВИЛА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СУБСИДИИ ИЗ ОБЛАСТНОГО БЮДЖЕТА БЮДЖЕТАМ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МУНИЦИПАЛЬНЫХ РАЙОНОВ И ГОРОДСКИХ ОКРУГОВ ОБЛАСТИ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 СОЗДАНИЕ ВИРТУАЛЬНЫХ КОНЦЕРТНЫХ ЗАЛОВ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Утратили силу. - </w:t>
      </w:r>
      <w:hyperlink r:id="rId177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8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ПОЛОЖЕНИЕ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 МЕТОДИКЕ РАСПРЕДЕЛЕНИЯ И ПОРЯДКЕ ПРЕДОСТАВЛЕНИЯ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ИЗ ОБЛАСТНОГО БЮДЖЕТА ИНЫХ МЕЖБЮДЖЕТНЫХ ТРАНСФЕРТОВ БЮДЖЕТАМ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МУНИЦИПАЛЬНЫХ РАЙОНОВ, МУНИЦИПАЛЬНЫХ ОКРУГОВ, ГОРОДСКИХ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ОКРУГОВ И ПОСЕЛЕНИЙ ОБЛАСТИ НА ПРОВЕДЕНИЕ КАПИТАЛЬНОГО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ТЕКУЩЕГО РЕМОНТА, ТЕХНИЧЕСКОЕ ОСНАЩЕНИЕ МУНИЦИПАЛЬНЫХ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УЧРЕЖДЕНИЙ КУЛЬТУРНО-ДОСУГОВОГО ТИПА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29.12.2023 </w:t>
            </w:r>
            <w:hyperlink r:id="rId178">
              <w:r w:rsidRPr="00145A53">
                <w:rPr>
                  <w:rFonts w:ascii="PT Astra Serif" w:hAnsi="PT Astra Serif"/>
                  <w:sz w:val="28"/>
                  <w:szCs w:val="28"/>
                </w:rPr>
                <w:t>N 1286-П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07.11.2025 </w:t>
            </w:r>
            <w:hyperlink r:id="rId179">
              <w:r w:rsidRPr="00145A53">
                <w:rPr>
                  <w:rFonts w:ascii="PT Astra Serif" w:hAnsi="PT Astra Serif"/>
                  <w:sz w:val="28"/>
                  <w:szCs w:val="28"/>
                </w:rPr>
                <w:t>N 828-П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1. Настоящее Положение определяет методику распределения и порядок предоставления из областного бюджета иных межбюджетных трансфертов бюджетам муниципальных районов, муниципальных округов, городских округов и поселений области на проведение капитального и текущего ремонта, техническое оснащение муниципальных учреждений культурно-досугового типа (далее - иной межбюджетный трансферт) в рамках исполнения регионального проекта "Развитие культурной инфраструктуры" государственной программы Саратовской области "Культура Саратовской области".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29.12.2023 </w:t>
      </w:r>
      <w:hyperlink r:id="rId180">
        <w:r w:rsidRPr="00145A53">
          <w:rPr>
            <w:rFonts w:ascii="PT Astra Serif" w:hAnsi="PT Astra Serif"/>
            <w:sz w:val="28"/>
            <w:szCs w:val="28"/>
          </w:rPr>
          <w:t>N 1286-П</w:t>
        </w:r>
      </w:hyperlink>
      <w:r w:rsidRPr="00145A53">
        <w:rPr>
          <w:rFonts w:ascii="PT Astra Serif" w:hAnsi="PT Astra Serif"/>
          <w:sz w:val="28"/>
          <w:szCs w:val="28"/>
        </w:rPr>
        <w:t xml:space="preserve">, от 07.11.2025 </w:t>
      </w:r>
      <w:hyperlink r:id="rId181">
        <w:r w:rsidRPr="00145A53">
          <w:rPr>
            <w:rFonts w:ascii="PT Astra Serif" w:hAnsi="PT Astra Serif"/>
            <w:sz w:val="28"/>
            <w:szCs w:val="28"/>
          </w:rPr>
          <w:t>N 828-П</w:t>
        </w:r>
      </w:hyperlink>
      <w:r w:rsidRPr="00145A53">
        <w:rPr>
          <w:rFonts w:ascii="PT Astra Serif" w:hAnsi="PT Astra Serif"/>
          <w:sz w:val="28"/>
          <w:szCs w:val="28"/>
        </w:rPr>
        <w:t>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6" w:name="P668"/>
      <w:bookmarkEnd w:id="6"/>
      <w:r w:rsidRPr="00145A53">
        <w:rPr>
          <w:rFonts w:ascii="PT Astra Serif" w:hAnsi="PT Astra Serif"/>
          <w:sz w:val="28"/>
          <w:szCs w:val="28"/>
        </w:rPr>
        <w:t>2. Целью предоставления иного межбюджетного трансферта является софинансирование расходных обязательств муниципальных районов и муниципальных округов области, возникающих при выполнении полномочий органов местного самоуправления по решению вопросов местного значения при проведении капитального и текущего ремонта, технического оснащения муниципальных учреждений культурно-досугового типа.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(п. 2 в ред. </w:t>
      </w:r>
      <w:hyperlink r:id="rId182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2.1. Утратил силу. - </w:t>
      </w:r>
      <w:hyperlink r:id="rId183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3. Иные межбюджетные трансферты предоставляется бюджетам муниципальных районов, муниципальных округов, городских округов и поселений области (далее - муниципальные образования области)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культуры области (далее - Министерство) на цели, указанные в </w:t>
      </w:r>
      <w:hyperlink w:anchor="P668">
        <w:r w:rsidRPr="00145A53">
          <w:rPr>
            <w:rFonts w:ascii="PT Astra Serif" w:hAnsi="PT Astra Serif"/>
            <w:sz w:val="28"/>
            <w:szCs w:val="28"/>
          </w:rPr>
          <w:t>пункте 2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настоящего Положения.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84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4. Размер иного межбюджетного трансферта на проведение капитального и текущего ремонта, техническое оснащение муниципальных учреждений культурно-досугового типа, предоставляемого бюджету муниципального образования области,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noProof/>
          <w:position w:val="-26"/>
          <w:sz w:val="28"/>
          <w:szCs w:val="28"/>
        </w:rPr>
        <w:drawing>
          <wp:inline distT="0" distB="0" distL="0" distR="0" wp14:anchorId="31781D3F" wp14:editId="6806C87C">
            <wp:extent cx="1519555" cy="471805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o</w:t>
      </w:r>
      <w:r w:rsidRPr="00145A53">
        <w:rPr>
          <w:rFonts w:ascii="PT Astra Serif" w:hAnsi="PT Astra Serif"/>
          <w:sz w:val="28"/>
          <w:szCs w:val="28"/>
        </w:rPr>
        <w:t xml:space="preserve"> - общий объем бюджетных ассигнований, предусмотренных в областном бюджете на предоставление иных межбюджетных трансфертов на соответствующий финансовый год;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K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коэффициент, устанавливаемый для муниципальных образований области равным 1 (единице) (при отсутствии софинансирования из муниципального бюджета муниципального образования области);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зi</w:t>
      </w:r>
      <w:r w:rsidRPr="00145A53">
        <w:rPr>
          <w:rFonts w:ascii="PT Astra Serif" w:hAnsi="PT Astra Serif"/>
          <w:sz w:val="28"/>
          <w:szCs w:val="28"/>
        </w:rPr>
        <w:t xml:space="preserve"> - объем потребности в средствах областного бюджета заявленный i-муниципальным образованием области (согласно имеющейся проектно-сметной документации);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noProof/>
          <w:position w:val="-9"/>
          <w:sz w:val="28"/>
          <w:szCs w:val="28"/>
        </w:rPr>
        <w:drawing>
          <wp:inline distT="0" distB="0" distL="0" distR="0" wp14:anchorId="156C10FA" wp14:editId="6DD3FEA4">
            <wp:extent cx="241300" cy="262255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5A53">
        <w:rPr>
          <w:rFonts w:ascii="PT Astra Serif" w:hAnsi="PT Astra Serif"/>
          <w:sz w:val="28"/>
          <w:szCs w:val="28"/>
        </w:rPr>
        <w:t xml:space="preserve"> - сумма бюджетных ассигнований областного бюджета на предоставление иных межбюджетных трансфертов, соответствующая финансовом году.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5. Утратил силу. - </w:t>
      </w:r>
      <w:hyperlink r:id="rId187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6. Перечисление иных межбюджетных трансфертов бюджетам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осуществления и отражения операций по учету и распределению поступлений.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иного межбюджетного трансферта УФК предоставление иного межбюджетного трансферта из областного бюджета бюджетам муниципальных образований области осуществляется в порядке, установленном Федеральным казначейством.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7. Перечисление иных межбюджетных трансфертов бюджетам муниципальных образований области осуществляется на основании соглашения, заключенного между Министерством и органом местного самоуправления муниципального образования области, о предоставлении иного межбюджетного трансферта (далее - соглашение) не позднее 1 ноября текущего года.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 xml:space="preserve">7.1. Утратил силу. - </w:t>
      </w:r>
      <w:hyperlink r:id="rId188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8. Иные межбюджетные трансферты носят целевой характер и не подлежат направлению на иные цели.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9. В случае использования иных межбюджетных трансфертов не по целевому назначению соответствующие средства взыскиваются в областной бюджет в установленном порядке.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10. Неиспользованные по состоянию на 1 января финансового года, следующего за годом предоставления иных межбюджетных трансфертов, остатки иного межбюджетного трансферта, находящиеся на едином счете местного бюджета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финансового года, следующего за годом предоставления иного межбюджетного трансферта.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случае, если неиспользованный остаток иного межбюджетного трансферта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11. Органы местного самоуправления муниципальных образований области несут ответственность за своевременное представление сведений об использовании иного межбюджетного трансферта и их достоверность.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12. Органы местного самоуправления муниципальных образований, получившие из областного бюджета иной межбюджетный трансферт, обеспечивают: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заключение соглашения с Министерством о предоставлении из областного бюджета иных межбюджетных трансфертов в целях софинансирования расходных обязательств, возникающих при реализации мероприятий на проведение капитального и текущего ремонтов, техническое оснащение муниципальных учреждений культурно-досугового типа;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представление в Министерство до 15 числа месяца, следующего за отчетным кварталом, </w:t>
      </w:r>
      <w:hyperlink w:anchor="P715">
        <w:r w:rsidRPr="00145A53">
          <w:rPr>
            <w:rFonts w:ascii="PT Astra Serif" w:hAnsi="PT Astra Serif"/>
            <w:sz w:val="28"/>
            <w:szCs w:val="28"/>
          </w:rPr>
          <w:t>отчета-заявки</w:t>
        </w:r>
      </w:hyperlink>
      <w:r w:rsidRPr="00145A53">
        <w:rPr>
          <w:rFonts w:ascii="PT Astra Serif" w:hAnsi="PT Astra Serif"/>
          <w:sz w:val="28"/>
          <w:szCs w:val="28"/>
        </w:rPr>
        <w:t xml:space="preserve"> по форме согласно приложению N 1;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контроль за целевым использованием иных межбюджетных трансфертов в целях софинансирования расходных обязательств, возникающих при осуществлении работ на проведение капитального и текущего ремонтов, техническое оснащение муниципальных учреждений культурно-досугового типа.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13. Министерство ежеквартально не позднее 10 числа месяца, следующего за отчетным кварталом, представляет в министерство финансов области </w:t>
      </w:r>
      <w:hyperlink w:anchor="P838">
        <w:r w:rsidRPr="00145A53">
          <w:rPr>
            <w:rFonts w:ascii="PT Astra Serif" w:hAnsi="PT Astra Serif"/>
            <w:sz w:val="28"/>
            <w:szCs w:val="28"/>
          </w:rPr>
          <w:t>отчет</w:t>
        </w:r>
      </w:hyperlink>
      <w:r w:rsidRPr="00145A53">
        <w:rPr>
          <w:rFonts w:ascii="PT Astra Serif" w:hAnsi="PT Astra Serif"/>
          <w:sz w:val="28"/>
          <w:szCs w:val="28"/>
        </w:rPr>
        <w:t xml:space="preserve"> по форме согласно приложению N 2.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14. Результатом предоставления иного межбюджетного трансферта является количество учреждений культуры, в которых проведен капитальный и текущий ремонт и технически оснащены муниципальные учреждения культурно-досугового типа.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Оценка эффективности использования иного межбюджетного трансферта осуществляется путем сравнения фактически достигнутых значений результатов использования иного межбюджетного трансферта со значениями результатов использования иного межбюджетного трансферта, указанных в Соглашении.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1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Положению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 методике распределения и порядке предоставления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из областного бюджета иных межбюджетных трансфертов бюджетам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муниципальных районов, муниципальных округов, городских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округов и поселений области на проведение капитального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текущего ремонта, техническое оснащение муниципальных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учреждений культурно-досугового типа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89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 07.11.2025 N 828-П)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7" w:name="P715"/>
      <w:bookmarkEnd w:id="7"/>
      <w:r w:rsidRPr="00145A53">
        <w:rPr>
          <w:rFonts w:ascii="PT Astra Serif" w:hAnsi="PT Astra Serif"/>
          <w:sz w:val="28"/>
          <w:szCs w:val="28"/>
        </w:rPr>
        <w:t xml:space="preserve">                                                 Форма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отчета-заявки  органа  местного самоуправления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муниципального района, муниципального  округа,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городского   округа   и   поселения    области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об  использовании  полученного  из  областного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бюджета   иного    межбюджетного    трансферта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на проведение капитального и текущего ремонта,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техническое оснащение муниципальных учреждений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культурно-досугового типа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  Отчет-заявка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___________________________________________________________________________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(наименование органа местного самоуправления муниципального района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(муниципального округа, городского округа, поселения) области)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об использовании полученного из областного бюджета иного </w:t>
      </w:r>
      <w:r w:rsidRPr="00145A53">
        <w:rPr>
          <w:rFonts w:ascii="PT Astra Serif" w:hAnsi="PT Astra Serif"/>
          <w:sz w:val="28"/>
          <w:szCs w:val="28"/>
        </w:rPr>
        <w:lastRenderedPageBreak/>
        <w:t>межбюджетного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трансферта на проведение капитального и текущего ремонта, техническое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оснащение муниципальных учреждений культурно-досугового типа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на ___________ 20__ года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                              (рублей, копеек)</w:t>
      </w:r>
    </w:p>
    <w:p w:rsidR="00145A53" w:rsidRPr="00145A53" w:rsidRDefault="00145A53">
      <w:pPr>
        <w:pStyle w:val="ConsPlusNormal"/>
        <w:rPr>
          <w:rFonts w:ascii="PT Astra Serif" w:hAnsi="PT Astra Serif"/>
          <w:sz w:val="28"/>
          <w:szCs w:val="28"/>
        </w:rPr>
        <w:sectPr w:rsidR="00145A53" w:rsidRPr="00145A53" w:rsidSect="00E00A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077"/>
        <w:gridCol w:w="1134"/>
        <w:gridCol w:w="1134"/>
        <w:gridCol w:w="1304"/>
        <w:gridCol w:w="1247"/>
        <w:gridCol w:w="1361"/>
        <w:gridCol w:w="1191"/>
        <w:gridCol w:w="1191"/>
        <w:gridCol w:w="2041"/>
        <w:gridCol w:w="1304"/>
      </w:tblGrid>
      <w:tr w:rsidR="00145A53" w:rsidRPr="00145A53">
        <w:tc>
          <w:tcPr>
            <w:tcW w:w="567" w:type="dxa"/>
            <w:vMerge w:val="restart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N п/п</w:t>
            </w:r>
          </w:p>
        </w:tc>
        <w:tc>
          <w:tcPr>
            <w:tcW w:w="1077" w:type="dxa"/>
            <w:vMerge w:val="restart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Наименование мероприятия (работы)</w:t>
            </w:r>
          </w:p>
        </w:tc>
        <w:tc>
          <w:tcPr>
            <w:tcW w:w="1134" w:type="dxa"/>
            <w:vMerge w:val="restart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Предусмотрено сводной бюджетной росписью бюджета муниципального района (муниципального/городского округа, поселения) области на год</w:t>
            </w:r>
          </w:p>
        </w:tc>
        <w:tc>
          <w:tcPr>
            <w:tcW w:w="1134" w:type="dxa"/>
            <w:vMerge w:val="restart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Предельные объемы финансирования на дату представления отчета</w:t>
            </w:r>
          </w:p>
        </w:tc>
        <w:tc>
          <w:tcPr>
            <w:tcW w:w="1304" w:type="dxa"/>
            <w:vMerge w:val="restart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Зачислено средств иных межбюджетных трансфертов на счет администратора доходов местного бюджета (нарастающим итогом с начала года)</w:t>
            </w:r>
          </w:p>
        </w:tc>
        <w:tc>
          <w:tcPr>
            <w:tcW w:w="1247" w:type="dxa"/>
            <w:vMerge w:val="restart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361" w:type="dxa"/>
            <w:vMerge w:val="restart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Кассовые расходы автономных и бюджетных муниципальных учреждений (нарастающим итогом с начала года)</w:t>
            </w:r>
          </w:p>
        </w:tc>
        <w:tc>
          <w:tcPr>
            <w:tcW w:w="2382" w:type="dxa"/>
            <w:gridSpan w:val="2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Остаток средств иных межбюджетных трансфертов на конец отчетного периода</w:t>
            </w:r>
          </w:p>
        </w:tc>
        <w:tc>
          <w:tcPr>
            <w:tcW w:w="2041" w:type="dxa"/>
            <w:vMerge w:val="restart"/>
            <w:vAlign w:val="center"/>
          </w:tcPr>
          <w:p w:rsidR="00145A53" w:rsidRPr="00145A53" w:rsidRDefault="00145A53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  Расчетная</w:t>
            </w:r>
          </w:p>
          <w:p w:rsidR="00145A53" w:rsidRPr="00145A53" w:rsidRDefault="00145A53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 потребность</w:t>
            </w:r>
          </w:p>
          <w:p w:rsidR="00145A53" w:rsidRPr="00145A53" w:rsidRDefault="00145A53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    иных</w:t>
            </w:r>
          </w:p>
          <w:p w:rsidR="00145A53" w:rsidRPr="00145A53" w:rsidRDefault="00145A53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 межбюджетных</w:t>
            </w:r>
          </w:p>
          <w:p w:rsidR="00145A53" w:rsidRPr="00145A53" w:rsidRDefault="00145A53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 трансфертов</w:t>
            </w:r>
          </w:p>
          <w:p w:rsidR="00145A53" w:rsidRPr="00145A53" w:rsidRDefault="00145A53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 __________</w:t>
            </w:r>
          </w:p>
          <w:p w:rsidR="00145A53" w:rsidRPr="00145A53" w:rsidRDefault="00145A53">
            <w:pPr>
              <w:pStyle w:val="ConsPlusNonforma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    (месяц)</w:t>
            </w:r>
          </w:p>
        </w:tc>
        <w:tc>
          <w:tcPr>
            <w:tcW w:w="1304" w:type="dxa"/>
            <w:vMerge w:val="restart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Потребность в перечислении иных межбюджетных трансфертов с учетом остатка</w:t>
            </w:r>
          </w:p>
        </w:tc>
      </w:tr>
      <w:tr w:rsidR="00145A53" w:rsidRPr="00145A53">
        <w:tc>
          <w:tcPr>
            <w:tcW w:w="567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 едином счете бюджета муниципального района (муниципального/городского округа, поселения) области</w:t>
            </w:r>
          </w:p>
        </w:tc>
        <w:tc>
          <w:tcPr>
            <w:tcW w:w="1191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 счетах автономных и бюджетных муниципальных учреждений</w:t>
            </w:r>
          </w:p>
        </w:tc>
        <w:tc>
          <w:tcPr>
            <w:tcW w:w="2041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567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077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304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247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361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191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191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2041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304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145A53" w:rsidRPr="00145A53">
        <w:tc>
          <w:tcPr>
            <w:tcW w:w="567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41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567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41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567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41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Глава администрации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муниципального района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(муниципального/городского округа,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поселения) области                   ________________ _____________________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           (подпись)         (Ф.И.О.)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Руководитель финансового органа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муниципального района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(муниципального/городского округа,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поселения) области                   ________________ _____________________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           (подпись)          (Ф.И.О.)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Руководитель органа местного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самоуправления муниципального района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(муниципального/городского округа,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поселения) области, осуществляющего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управление в сфере культуры          ________________ _____________________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           (подпись)          (Ф.И.О.)</w:t>
      </w:r>
    </w:p>
    <w:p w:rsidR="00145A53" w:rsidRPr="00145A53" w:rsidRDefault="00145A53">
      <w:pPr>
        <w:pStyle w:val="ConsPlusNormal"/>
        <w:rPr>
          <w:rFonts w:ascii="PT Astra Serif" w:hAnsi="PT Astra Serif"/>
          <w:sz w:val="28"/>
          <w:szCs w:val="28"/>
        </w:rPr>
        <w:sectPr w:rsidR="00145A53" w:rsidRPr="00145A53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Исполнитель         _____________ ______________________ __________________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(подпись)          (Ф.И.О.)             (телефон)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М.П.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2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Положению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 методике распределения и порядке предоставления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из областного бюджета иных межбюджетных трансфертов бюджетам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муниципальных районов, муниципальных округов, городских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округов и поселений области на проведение капитального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текущего ремонта, техническое оснащение муниципальных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учреждений культурно-досугового типа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90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 07.11.2025 N 828-П)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8" w:name="P838"/>
      <w:bookmarkEnd w:id="8"/>
      <w:r w:rsidRPr="00145A53">
        <w:rPr>
          <w:rFonts w:ascii="PT Astra Serif" w:hAnsi="PT Astra Serif"/>
          <w:sz w:val="28"/>
          <w:szCs w:val="28"/>
        </w:rPr>
        <w:t xml:space="preserve">                                 Форма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отчета министерства культуры области об использовании предоставленных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из областного бюджета иных  межбюджетных  трансфертов  на  проведение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капитального и текущего ремонта, техническое  оснащение муниципальных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учреждений культурно-досугового типа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      Отчет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министерства культуры области об использовании предоставленных из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областного бюджета иных межбюджетных трансфертов на проведение капитального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и текущего ремонтов, техническое оснащение муниципальных учреждений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культурно-досугового типа на 1 ___________ 20__ года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               (месяц)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                              (рублей, копеек)</w:t>
      </w:r>
    </w:p>
    <w:p w:rsidR="00145A53" w:rsidRPr="00145A53" w:rsidRDefault="00145A53">
      <w:pPr>
        <w:pStyle w:val="ConsPlusNormal"/>
        <w:rPr>
          <w:rFonts w:ascii="PT Astra Serif" w:hAnsi="PT Astra Serif"/>
          <w:sz w:val="28"/>
          <w:szCs w:val="28"/>
        </w:rPr>
        <w:sectPr w:rsidR="00145A53" w:rsidRPr="00145A53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275"/>
        <w:gridCol w:w="1560"/>
        <w:gridCol w:w="1559"/>
        <w:gridCol w:w="1843"/>
        <w:gridCol w:w="1474"/>
        <w:gridCol w:w="1304"/>
        <w:gridCol w:w="1531"/>
        <w:gridCol w:w="1417"/>
      </w:tblGrid>
      <w:tr w:rsidR="00145A53" w:rsidRPr="00145A53">
        <w:tc>
          <w:tcPr>
            <w:tcW w:w="1531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Наименование источника</w:t>
            </w:r>
          </w:p>
        </w:tc>
        <w:tc>
          <w:tcPr>
            <w:tcW w:w="1275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Наименование мероприятия (работы)</w:t>
            </w:r>
          </w:p>
        </w:tc>
        <w:tc>
          <w:tcPr>
            <w:tcW w:w="1560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Предусмотрено бюджетных ассигнований в сводной бюджетной росписи на 20____ год</w:t>
            </w:r>
          </w:p>
        </w:tc>
        <w:tc>
          <w:tcPr>
            <w:tcW w:w="1559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Предельные объемы оплаты денежных обязательств, отраженные в УФК (нарастающим итогом с начала года)</w:t>
            </w:r>
          </w:p>
        </w:tc>
        <w:tc>
          <w:tcPr>
            <w:tcW w:w="1843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Зачислено средств иных межбюджетных трансфертов на счет администратора доходов местного бюджета (нарастающим итогом с начала года)</w:t>
            </w:r>
          </w:p>
        </w:tc>
        <w:tc>
          <w:tcPr>
            <w:tcW w:w="1474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304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Кассовые расходы автономных и бюджетных муниципальных учреждений (нарастающим итогом с начала года)</w:t>
            </w:r>
          </w:p>
        </w:tc>
        <w:tc>
          <w:tcPr>
            <w:tcW w:w="294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Остаток средств иных межбюджетных трансфертов на конец отчетного периода</w:t>
            </w:r>
          </w:p>
        </w:tc>
      </w:tr>
      <w:tr w:rsidR="00145A53" w:rsidRPr="00145A53">
        <w:tc>
          <w:tcPr>
            <w:tcW w:w="1531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 едином счете бюджета муниципальных районов, муниципальных округов, городских округов и поселений области</w:t>
            </w:r>
          </w:p>
        </w:tc>
        <w:tc>
          <w:tcPr>
            <w:tcW w:w="141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 счетах автономных и бюджетных муниципальных учреждений</w:t>
            </w:r>
          </w:p>
        </w:tc>
      </w:tr>
      <w:tr w:rsidR="00145A53" w:rsidRPr="00145A53">
        <w:tc>
          <w:tcPr>
            <w:tcW w:w="1531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474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531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145A53" w:rsidRPr="00145A53">
        <w:tc>
          <w:tcPr>
            <w:tcW w:w="1531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275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0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1531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275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60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 xml:space="preserve">    Министр культуры области __________ _____________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(подпись)    (Ф.И.О.)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Исполнитель             __________ _____________ ______________________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(подпись)    (Ф.И.О.)        (телефон)</w:t>
      </w:r>
    </w:p>
    <w:p w:rsidR="00145A53" w:rsidRPr="00145A53" w:rsidRDefault="00145A53">
      <w:pPr>
        <w:pStyle w:val="ConsPlusNormal"/>
        <w:rPr>
          <w:rFonts w:ascii="PT Astra Serif" w:hAnsi="PT Astra Serif"/>
          <w:sz w:val="28"/>
          <w:szCs w:val="28"/>
        </w:rPr>
        <w:sectPr w:rsidR="00145A53" w:rsidRPr="00145A53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3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Положению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 методике распределения и порядке предоставления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из областного бюджета иных межбюджетных трансфертов бюджетам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муниципальных районов, городских округов и поселений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 проведение капитального и текущего ремонта, техническое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оснащение муниципальных учреждений культурно-досугового типа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РАСПРЕДЕЛЕНИЕ НА 2023 ГОД ИЗ ОБЛАСТНОГО БЮДЖЕТА ИНОГО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МЕЖБЮДЖЕТНОГО ТРАНСФЕРТА ГОРОДСКОМУ ОКРУГУ ОБЛАСТИ НА МОНТАЖ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СИСТЕМЫ ВЕНТИЛЯЦИИ, КОНДИЦИОНИРОВАНИЯ И ДЫМОУДАЛЕНИЯ В ЦЕЛЯХ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ЗАВЕРШЕНИЯ КАПИТАЛЬНОГО РЕМОНТА ЗДАНИЯ МУК "ДОМ КУЛЬТУРЫ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ГОРОДСКОГО ОКРУГА ЗАТО СВЕТЛЫЙ"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Утратило силу. - </w:t>
      </w:r>
      <w:hyperlink r:id="rId191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9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ПОРЯДОК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СУБСИДИИ БЮДЖЕТАМ МУНИЦИПАЛЬНЫХ РАЙОНОВ ОБЛАСТИ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 ТЕХНИЧЕСКОЕ ОСНАЩЕНИЕ МУНИЦИПАЛЬНЫХ МУЗЕЕВ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92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от 07.11.2025 N 828-П)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1. Настоящий Порядок определяет цели, методику распределения и условия предоставления из областного бюджета субсидии бюджетам муниципальных районов области (далее - муниципальные образования области) на реализацию мероприятий на техническое оснащение муниципальных музеев (далее - субсидия) в рамках исполнения регионального проекта "Семейные ценности и инфраструктура культуры" государственной программы Саратовской области "Культура Саратовской области".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193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Под муниципальными музеями понимаются некоммерческие учреждения культуры, созданные муниципальными образованиями области для хранения, изучения и публичного представления музейных предметов и музейных коллекций, включенных в состав Музейного фонда Российской Федерации, зарегистрированные в реестре музеев, иных организаций, физических лиц, в собственности, во владении или пользовании которых находятся музейные предметы и музейные коллекции, включенные в состав Музейного фонда Российской Федерации.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2. Субсидия предоставляется из областного бюджета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культуры области (далее - Министерство) в целях софинансирования расходных обязательств муниципальных образований области на техническое оснащение муниципальных музеев по следующим направлениям: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оборудования и технических средств, необходимых для осуществления экспозиционно-выставочной деятельности (включая доставку, погрузочно-разгрузочные работы, монтаж, установку, а также пусконаладочные работы);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оборудования и технических средств, необходимых для обеспечения сохранности и хранения музейных предметов (фондовое оборудование) (включая доставку, монтаж, установку, погрузочно-разгрузочные работы, а также пусконаладочные работы);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оборудования и технических средств, необходимых для обеспечения открытого хранения музейных предметов (включая доставку, монтаж, установку, погрузочно-разгрузочные работы, а также пусконаладочные работы);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приобретение оборудования и технических средств, необходимых для </w:t>
      </w:r>
      <w:r w:rsidRPr="00145A53">
        <w:rPr>
          <w:rFonts w:ascii="PT Astra Serif" w:hAnsi="PT Astra Serif"/>
          <w:sz w:val="28"/>
          <w:szCs w:val="28"/>
        </w:rPr>
        <w:lastRenderedPageBreak/>
        <w:t>осуществления уставной деятельности, включая автоматизированные билетные системы, автоматизированные системы учета музейных предметов, а также специализированное оборудование для работы с посетителями с ограниченными возможностями здоровья (включая доставку, монтаж, установку, погрузочно-разгрузочные работы, а также пусконаладочные работы).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Оборудование и технические средства должны обеспечивать долговременную сохранность (как в фондохранилищах, так и в экспозициях) музейных предметов, исключать возможность их хищения, разрушения и повреждения, а также создавать благоприятные условия для их представления и изучения (включая доставку, монтаж, установку и пусконаладочные работы).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Экспозиционно-выставочное, фондовое и климатическое оборудование должно обеспечивать режимы хранения музейных предметов, установленные Едиными </w:t>
      </w:r>
      <w:hyperlink r:id="rId194">
        <w:r w:rsidRPr="00145A53">
          <w:rPr>
            <w:rFonts w:ascii="PT Astra Serif" w:hAnsi="PT Astra Serif"/>
            <w:sz w:val="28"/>
            <w:szCs w:val="28"/>
          </w:rPr>
          <w:t>правилами</w:t>
        </w:r>
      </w:hyperlink>
      <w:r w:rsidRPr="00145A53">
        <w:rPr>
          <w:rFonts w:ascii="PT Astra Serif" w:hAnsi="PT Astra Serif"/>
          <w:sz w:val="28"/>
          <w:szCs w:val="28"/>
        </w:rPr>
        <w:t xml:space="preserve"> организации комплектования, учета, хранения и использования музейных предметов и музейных коллекций, утвержденными приказом Министерства культуры Российской Федерации от 23 июля 2020 года N 827 (включая доставку, монтаж, установку, погрузочно-разгрузочные работы, а также пусконаладочные работы).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Автоматизированные системы продажи билетов и учета фондов и их прикладные части должны иметь открытый исходный код и предусматривать различные режимы работы (с использованием веб-соединения и без него). Автоматизированные системы и программные платформы, используемые для их разработки, должны отвечать требованиям государственной программы импортозамещения и являться продуктами российского производителя (включая доставку, монтаж, установку, погрузочно-разгрузочные работы, а также пусконаладочные работы).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3. Условиями предоставления субсидии бюджету муниципального образования области являются: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наличие соглашения, заключаемого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195">
        <w:r w:rsidRPr="00145A53">
          <w:rPr>
            <w:rFonts w:ascii="PT Astra Serif" w:hAnsi="PT Astra Serif"/>
            <w:sz w:val="28"/>
            <w:szCs w:val="28"/>
          </w:rPr>
          <w:t>подпункта "л(1)" пункта 10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 - Соглашение), о предоставлении из бюджета Саратовской области субсидии бюджету муниципального образования области, предусматривающего обязательства муниципального образования области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</w:t>
      </w:r>
      <w:r w:rsidRPr="00145A53">
        <w:rPr>
          <w:rFonts w:ascii="PT Astra Serif" w:hAnsi="PT Astra Serif"/>
          <w:sz w:val="28"/>
          <w:szCs w:val="28"/>
        </w:rPr>
        <w:lastRenderedPageBreak/>
        <w:t>Соглашением обязательств;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централизация закупок товаров, финансовое обеспечение которых частично или полностью осуществляется за счет субсидии.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(п. 3 в ред. </w:t>
      </w:r>
      <w:hyperlink r:id="rId196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4. Отбор муниципальных образований области для предоставления и распределения субсидии на техническое оснащение муниципальных музеев проводится согласно </w:t>
      </w:r>
      <w:hyperlink r:id="rId197">
        <w:r w:rsidRPr="00145A53">
          <w:rPr>
            <w:rFonts w:ascii="PT Astra Serif" w:hAnsi="PT Astra Serif"/>
            <w:sz w:val="28"/>
            <w:szCs w:val="28"/>
          </w:rPr>
          <w:t>приложению N 26</w:t>
        </w:r>
      </w:hyperlink>
      <w:r w:rsidRPr="00145A53">
        <w:rPr>
          <w:rFonts w:ascii="PT Astra Serif" w:hAnsi="PT Astra Serif"/>
          <w:sz w:val="28"/>
          <w:szCs w:val="28"/>
        </w:rPr>
        <w:t xml:space="preserve"> к государственной программе Российской Федерации "Развитие культуры", утвержденной постановлением Правительства Российской Федерации от 15 апреля 2014 года N 317.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5. Размер субсидии, предоставляемой бюджету муниципального образования области,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noProof/>
          <w:position w:val="-22"/>
          <w:sz w:val="28"/>
          <w:szCs w:val="28"/>
        </w:rPr>
        <w:drawing>
          <wp:inline distT="0" distB="0" distL="0" distR="0" wp14:anchorId="467D5BD0" wp14:editId="52380BA2">
            <wp:extent cx="1058545" cy="429895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K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коэффициент выравнивания потребности i-го муниципального образования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K - общая сумма коэффициентов выравнивания потребности муниципальных образований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C - общая сумма бюджетных ассигнований областного бюджета на предоставление субсидии в соответствующем финансовом году.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6. Коэффициент выравнивания потребности i-го муниципального образования области (Ki)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noProof/>
          <w:position w:val="-22"/>
          <w:sz w:val="28"/>
          <w:szCs w:val="28"/>
        </w:rPr>
        <w:drawing>
          <wp:inline distT="0" distB="0" distL="0" distR="0" wp14:anchorId="46528851" wp14:editId="674463D7">
            <wp:extent cx="848995" cy="429895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заявленная финансовая потребность i-го муниципального образования области в целях технического оснащения муниципальных музеев;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 - общая заявленная финансовая потребность муниципальных образований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7. Перечисление субсидии бюджетам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осуществления и отражения операций по учету и распределению поступлений.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В случае принятия Министерством решения о передаче полномочий получателя средств областного бюджета по перечислению субсидии Управлению Федерального казначейства по Саратовской области предоставление субсидий из областного бюджета местным бюджетам осуществляется в порядке, установленном Федеральным казначейством.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8. Предоставление субсидии бюджетам муниципальных образований области производится единовременно на основании Соглашения в течение 30 календарных дней со дня открытия на соответствующем лицевом счете в УФК предельных объемов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9. Субсидия носит целевой характер и не подлежит направлению на иные цели.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10. Органы местного самоуправления муниципальных образований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11.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12. Порядок представления отчетности об осуществлении расходов местного бюджета, в целях софинансирования которых предоставляется субсидия, а также о достижении значений результатов использования субсидии, устанавливаются в Соглашении.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13. Результатом использования субсидии является количество технически оснащенных муниципальных музеев.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Оценка эффективности использования субсидии осуществляется путем сравнения фактически достигнутых значений результатов использования субсидий со значениями результатов использования субсидий, указанных в Соглашениях о предоставлении субсидий.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10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ПОРЯДОК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СУБСИДИИ БЮДЖЕТАМ МУНИЦИПАЛЬНЫХ РАЙОНОВ И ПОСЕЛЕНИЙ ОБЛАСТИ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 МОДЕРНИЗАЦИЮ МУНИЦИПАЛЬНЫХ МУЗЕЕВ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 силу. - </w:t>
      </w:r>
      <w:hyperlink r:id="rId200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11.02.2026 N 79-П.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11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ПОРЯДОК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СУБСИДИИ БЮДЖЕТАМ МУНИЦИПАЛЬНЫХ РАЙОНОВ ОБЛАСТИ НА РАЗВИТИЕ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СЕТИ УЧРЕЖДЕНИЙ КУЛЬТУРНО-ДОСУГОВОГО ТИПА (КАПИТАЛЬНЫЙ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РЕМОНТ УЧРЕЖДЕНИЙ КУЛЬТУРНО-ДОСУГОВОГО ТИПА В НАСЕЛЕННЫХ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ПУНКТАХ С ЧИСЛЕННОСТЬЮ НАСЕЛЕНИЯ ДО 500 ТЫС. ЧЕЛОВЕК)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 силу. - </w:t>
      </w:r>
      <w:hyperlink r:id="rId201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11.02.2026 N 79-П.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12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ПЕРЕЧЕНЬ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ОБЪЕКТОВ КАПИТАЛЬНОГО СТРОИТЕЛЬСТВА (ПОДЛЕЖАЩИХ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СТРОИТЕЛЬСТВУ, РЕКОНСТРУКЦИИ), ПРИОБРЕТАЕМЫХ ОБЪЕКТОВ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НЕДВИЖИМОСТИ ГОСУДАРСТВЕННОЙ ПРОГРАММЫ САРАТОВСКОЙ ОБЛАСТИ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02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 30.12.2025 N 1015-П)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rPr>
          <w:rFonts w:ascii="PT Astra Serif" w:hAnsi="PT Astra Serif"/>
          <w:sz w:val="28"/>
          <w:szCs w:val="28"/>
        </w:rPr>
        <w:sectPr w:rsidR="00145A53" w:rsidRPr="00145A53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1418"/>
        <w:gridCol w:w="992"/>
        <w:gridCol w:w="1616"/>
        <w:gridCol w:w="1559"/>
        <w:gridCol w:w="1276"/>
        <w:gridCol w:w="1276"/>
        <w:gridCol w:w="1534"/>
        <w:gridCol w:w="1587"/>
      </w:tblGrid>
      <w:tr w:rsidR="00145A53" w:rsidRPr="00145A53">
        <w:tc>
          <w:tcPr>
            <w:tcW w:w="2324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Наименование объекта капитального строительства (подлежащего строительству, реконструкции), приобретаемого объекта недвижимости</w:t>
            </w:r>
          </w:p>
        </w:tc>
        <w:tc>
          <w:tcPr>
            <w:tcW w:w="1418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Сметная стоимость объекта (тыс. рублей)</w:t>
            </w:r>
          </w:p>
        </w:tc>
        <w:tc>
          <w:tcPr>
            <w:tcW w:w="992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Мощность объекта</w:t>
            </w:r>
          </w:p>
        </w:tc>
        <w:tc>
          <w:tcPr>
            <w:tcW w:w="7261" w:type="dxa"/>
            <w:gridSpan w:val="5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Финансовое обеспечение (тыс. рублей)</w:t>
            </w:r>
          </w:p>
        </w:tc>
        <w:tc>
          <w:tcPr>
            <w:tcW w:w="1587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Планируемый год ввода в эксплуатацию/фактический год ввода в эксплуатацию</w:t>
            </w:r>
          </w:p>
        </w:tc>
      </w:tr>
      <w:tr w:rsidR="00145A53" w:rsidRPr="00145A53">
        <w:tc>
          <w:tcPr>
            <w:tcW w:w="2324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федеральный бюджет (прогнозно)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местные бюджеты (прогнозно)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внебюджетные источники (прогнозно)</w:t>
            </w: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государственные внебюджетные фонды и иные безвозмездные поступления целевых средств (прогнозно)</w:t>
            </w:r>
          </w:p>
        </w:tc>
        <w:tc>
          <w:tcPr>
            <w:tcW w:w="1587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13582" w:type="dxa"/>
            <w:gridSpan w:val="9"/>
          </w:tcPr>
          <w:p w:rsidR="00145A53" w:rsidRPr="00145A53" w:rsidRDefault="00145A5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Основное мероприятие 10.24 "Сохранение объекта культурного наследия регионального значения "Театр оперы и балета, 1864 г., 1959 - 1961 гг., расположенного по адресу: г. Саратов, пл. Театральная, 1", Региональный проект "Развитие культурной инфраструктуры"</w:t>
            </w: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Сохранение объекта культурного наследия регионального значения "Театр оперы и балета, 1864 г., 1959 - 1961 гг., расположенного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по адресу: г. Саратов, пл. Театральная, 1", в том числе по годам: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2449727,9</w:t>
            </w: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903 кв. м</w:t>
            </w: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528164,0 (факт - 516820,8)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2151914,6 (факт - 2141046,8)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2030</w:t>
            </w: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2020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23399,2</w:t>
            </w:r>
          </w:p>
        </w:tc>
        <w:tc>
          <w:tcPr>
            <w:tcW w:w="1559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189321,0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2021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66000,0</w:t>
            </w:r>
          </w:p>
        </w:tc>
        <w:tc>
          <w:tcPr>
            <w:tcW w:w="1559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534000,0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2022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197070,9</w:t>
            </w:r>
          </w:p>
        </w:tc>
        <w:tc>
          <w:tcPr>
            <w:tcW w:w="1559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1417725,8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2023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11343,2 (факт - 0)</w:t>
            </w:r>
          </w:p>
        </w:tc>
        <w:tc>
          <w:tcPr>
            <w:tcW w:w="1559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10867,8 (факт - 0)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2025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18820,0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2026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29442,4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2027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2028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182088,3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13582" w:type="dxa"/>
            <w:gridSpan w:val="9"/>
          </w:tcPr>
          <w:p w:rsidR="00145A53" w:rsidRPr="00145A53" w:rsidRDefault="00145A5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Осуществление работ по сохранению объектов культурного наследия</w:t>
            </w: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Выполнение работ по сохранению и приспособлению объекта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культурного наследия "Здание больницы, 1910 - 1913 гг.", расположенного по адресу: Саратовская область, г. Вольск, ул. Саши Евсеева, д. 2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94840,7</w:t>
            </w: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436 кв. м</w:t>
            </w: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94840,7</w:t>
            </w:r>
          </w:p>
        </w:tc>
        <w:tc>
          <w:tcPr>
            <w:tcW w:w="1587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62000,0</w:t>
            </w:r>
          </w:p>
        </w:tc>
        <w:tc>
          <w:tcPr>
            <w:tcW w:w="1587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32840,7</w:t>
            </w:r>
          </w:p>
        </w:tc>
        <w:tc>
          <w:tcPr>
            <w:tcW w:w="1587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13582" w:type="dxa"/>
            <w:gridSpan w:val="9"/>
          </w:tcPr>
          <w:p w:rsidR="00145A53" w:rsidRPr="00145A53" w:rsidRDefault="00145A5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Региональный проект "Обеспечение качественно нового уровня развития инфраструктуры культуры ("Культурная среда") (Саратовская область)", Региональный проект "Развитие культурной инфраструктуры",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Региональный проект "Семейные ценности и инфраструктура культуры"</w:t>
            </w:r>
          </w:p>
        </w:tc>
      </w:tr>
      <w:tr w:rsidR="00145A53" w:rsidRPr="00145A53">
        <w:tc>
          <w:tcPr>
            <w:tcW w:w="13582" w:type="dxa"/>
            <w:gridSpan w:val="9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"Модернизация театров юного зрителя и театров кукол"</w:t>
            </w: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Реконструкция комплекса малой сцены ГАУК "Саратовский академический театр юного зрителя им. Ю.П. Киселева" (малая сцена)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529514,46</w:t>
            </w: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3686,2 кв. м</w:t>
            </w: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219471,6 (факт - 187302,1)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404923,2 (факт - 331288,5)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2025</w:t>
            </w: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43995,3</w:t>
            </w:r>
          </w:p>
        </w:tc>
        <w:tc>
          <w:tcPr>
            <w:tcW w:w="1559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102655,8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2023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78550,7 (факт - 59228,2)</w:t>
            </w:r>
          </w:p>
        </w:tc>
        <w:tc>
          <w:tcPr>
            <w:tcW w:w="1559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132727,0 (факт - 100337,2)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41338,9 (факт - 28491,9)</w:t>
            </w:r>
          </w:p>
        </w:tc>
        <w:tc>
          <w:tcPr>
            <w:tcW w:w="1559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130968,0 (факт - 89723,1)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2025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55586,7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38572,4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Строительство Дома культуры с. Быков Отрог Балаковского района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94124,3</w:t>
            </w: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1937,3 кв. м</w:t>
            </w: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66082,0 (факт - 51633,9)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26700,0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1342,3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2025</w:t>
            </w: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2023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12682,0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26700,0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53400,0 (факт - 38951,9)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1342,3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13582" w:type="dxa"/>
            <w:gridSpan w:val="9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"Развитие сети учреждений культурно-досугового типа (создание центров культурного развития)"</w:t>
            </w: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Строительство Центра культурного развития по адресу: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Российская Федерация, Саратовская область, Балаковский м. р-н, город Балаково, ул. Саратовское шоссе, з/у 76/4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231283,3</w:t>
            </w: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22517 кв. м</w:t>
            </w: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77577,6 (факт - 48324,8)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124720,0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449,1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5281,2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42730,0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2023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29923,3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81990,0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42373,1 (факт - 13120,3)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449,1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13582" w:type="dxa"/>
            <w:gridSpan w:val="9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"Реновация учреждений отрасли культуры (Дом офицеров Красной Армии, арх. Каракис И.Ю., г. Энгельс, мкр. Энгельс-1, з/у 15б. "Проведение работ по сохранению объекта культурного наследия регионального значения "Дом офицеров Красной Армии, арх. Каракис И.Ю.; здание гарнизонного дома офицеров, в котором формировались первые женские авиаполки под руководством Героя Советского Союза летчицы М.М. Расковой; проходила подготовка первого отряда советских космонавтов, в который входили Ю.А. Гагарин, А.А. Леонов, Г.С. Титов, П.Р. Попович и другие" по адресу: Саратовская область, г. Энгельс, мкр. Энгельс-1, з/у 15б"),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Основное мероприятие 10.26 "Разработка проектно-сметной документации по объекту "Дом офицеров Красной Армии, арх. Каракис И.Ю.", г. Энгельс, мкр. Энгельс-1, з/у 15б"</w:t>
            </w: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Сохранение объекта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культурного наследия культуры (Дом офицеров Красной Армии, арх. Каракис И.Ю., г. Энгельс, мкр. Энгельс-1, з/у 15б. "Проведение работ по сохранению объекта культурного наследия регионального значения "Дом офицеров Красной Армии, арх. Каракис И.Ю.; здание гарнизонного дома офицеров, в котором формировались первые женские авиаполки под руководством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Героя Советского Союза летчицы М.М. Расковой; проходила подготовка первого отряда советских космонавтов, в который входили Ю.А. Гагарин, А.А. Леонов, Г.С. Титов, П.Р. Попович и другие" по адресу: Саратовская область, г. Энгельс, мкр. Энгельс-1, з/у 15б")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1357900,0</w:t>
            </w: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7991,2 кв. м</w:t>
            </w: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832497,7 (факт -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210460,2)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 xml:space="preserve">1230676,4 (факт -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1222773,1)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2027</w:t>
            </w: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2023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40693,1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329244,0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2023 (разработка проектно-сметной документации (ПСД)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6000,0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69685,7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(факт - 44457,1)</w:t>
            </w:r>
          </w:p>
        </w:tc>
        <w:tc>
          <w:tcPr>
            <w:tcW w:w="1559" w:type="dxa"/>
            <w:vAlign w:val="center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 xml:space="preserve">299823,4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(факт - 291920,1)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2025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633101,2 (факт - 36292,3)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2026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41889,2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300000,0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324" w:type="dxa"/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2027</w:t>
            </w:r>
          </w:p>
        </w:tc>
        <w:tc>
          <w:tcPr>
            <w:tcW w:w="141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1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41128,5</w:t>
            </w:r>
          </w:p>
        </w:tc>
        <w:tc>
          <w:tcPr>
            <w:tcW w:w="155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301609,0</w:t>
            </w: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rPr>
          <w:rFonts w:ascii="PT Astra Serif" w:hAnsi="PT Astra Serif"/>
          <w:sz w:val="28"/>
          <w:szCs w:val="28"/>
        </w:rPr>
        <w:sectPr w:rsidR="00145A53" w:rsidRPr="00145A53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13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ПРАВИЛА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И РАСПРЕДЕЛЕНИЯ СУБСИДИИ ИЗ ОБЛАСТНОГО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БЮДЖЕТА БЮДЖЕТАМ ГОРОДСКИХ ОКРУГОВ ОБЛАСТИ НА СОЗДАНИЕ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ШКОЛ КРЕАТИВНЫХ ИНДУСТРИЙ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(введены </w:t>
            </w:r>
            <w:hyperlink r:id="rId203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 16.02.2024 N 97-П;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в ред. </w:t>
            </w:r>
            <w:hyperlink r:id="rId204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 07.11.2025 N 828-П)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9" w:name="P1347"/>
      <w:bookmarkEnd w:id="9"/>
      <w:r w:rsidRPr="00145A53">
        <w:rPr>
          <w:rFonts w:ascii="PT Astra Serif" w:hAnsi="PT Astra Serif"/>
          <w:sz w:val="28"/>
          <w:szCs w:val="28"/>
        </w:rPr>
        <w:t>1. Настоящие Правила устанавливают цели, условия и порядок предоставления субсидии из областного бюджета бюджетам городских округов области на создание школ креативных индустрий (далее соответственно - муниципальные образования области, субсидия) в целях софинансирования расходных обязательств муниципальных образований области по финансовому обеспечению создания школ креативных индустрий путем оснащения специальным оборудованием организаций в сфере культуры, имеющих лицензии на осуществление образовательной деятельности, (далее - организации) и внедрения в них эффективных моделей коммуникации с обучающимися, направленных на повышение качества оказываемых организациями услуг, в целях реализации инициативы социально-экономического развития Российской Федерации "Придумано в России" в рамках регионального проекта "Развитие культурной инфраструктуры" государственной программы Саратовской области "Культура Саратовской области".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205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2. Субсидия предоставляется из областного бюджета в соответствии со сводной бюджетной росписью расходов областного бюджета за счет бюджетных ассигнований и в пределах лимитов бюджетных обязательств, </w:t>
      </w:r>
      <w:r w:rsidRPr="00145A53">
        <w:rPr>
          <w:rFonts w:ascii="PT Astra Serif" w:hAnsi="PT Astra Serif"/>
          <w:sz w:val="28"/>
          <w:szCs w:val="28"/>
        </w:rPr>
        <w:lastRenderedPageBreak/>
        <w:t xml:space="preserve">утвержденных в установленном порядке министерству культуры области (далее - министерство) на цели, указанные в </w:t>
      </w:r>
      <w:hyperlink w:anchor="P1347">
        <w:r w:rsidRPr="00145A53">
          <w:rPr>
            <w:rFonts w:ascii="PT Astra Serif" w:hAnsi="PT Astra Serif"/>
            <w:sz w:val="28"/>
            <w:szCs w:val="28"/>
          </w:rPr>
          <w:t>пункте 1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настоящих Правил.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3. Отбор производится на основании результатов оценки заявок на участие в отборе по критериям оценки заявок на участие в отборе на создание школ креативных индустрий согласно </w:t>
      </w:r>
      <w:hyperlink r:id="rId206">
        <w:r w:rsidRPr="00145A53">
          <w:rPr>
            <w:rFonts w:ascii="PT Astra Serif" w:hAnsi="PT Astra Serif"/>
            <w:sz w:val="28"/>
            <w:szCs w:val="28"/>
          </w:rPr>
          <w:t>приложениям N 1</w:t>
        </w:r>
      </w:hyperlink>
      <w:r w:rsidRPr="00145A53">
        <w:rPr>
          <w:rFonts w:ascii="PT Astra Serif" w:hAnsi="PT Astra Serif"/>
          <w:sz w:val="28"/>
          <w:szCs w:val="28"/>
        </w:rPr>
        <w:t xml:space="preserve">, </w:t>
      </w:r>
      <w:hyperlink r:id="rId207">
        <w:r w:rsidRPr="00145A53">
          <w:rPr>
            <w:rFonts w:ascii="PT Astra Serif" w:hAnsi="PT Astra Serif"/>
            <w:sz w:val="28"/>
            <w:szCs w:val="28"/>
          </w:rPr>
          <w:t>2</w:t>
        </w:r>
      </w:hyperlink>
      <w:r w:rsidRPr="00145A53">
        <w:rPr>
          <w:rFonts w:ascii="PT Astra Serif" w:hAnsi="PT Astra Serif"/>
          <w:sz w:val="28"/>
          <w:szCs w:val="28"/>
        </w:rPr>
        <w:t>, предусмотренных приложением N 28 к государственной программе Российской Федерации "Развитие культуры", утвержденной постановлением Правительства Российской Федерации от 15 апреля 2014 года N 317 "Об утверждении государственной программы Российской Федерации "Развитие культуры" (далее - Правила предоставления субсидий, отбор).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Отбор проводится ежегодно.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4. Понятия, используемые в настоящих Правилах: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школа креативных индустрий - организация (структурное подразделение организации, обособленное подразделение - филиал), которая в соответствии с </w:t>
      </w:r>
      <w:hyperlink r:id="rId208">
        <w:r w:rsidRPr="00145A53">
          <w:rPr>
            <w:rFonts w:ascii="PT Astra Serif" w:hAnsi="PT Astra Serif"/>
            <w:sz w:val="28"/>
            <w:szCs w:val="28"/>
          </w:rPr>
          <w:t>Концепцией</w:t>
        </w:r>
      </w:hyperlink>
      <w:r w:rsidRPr="00145A53">
        <w:rPr>
          <w:rFonts w:ascii="PT Astra Serif" w:hAnsi="PT Astra Serif"/>
          <w:sz w:val="28"/>
          <w:szCs w:val="28"/>
        </w:rPr>
        <w:t xml:space="preserve"> развития креативных (творческих) индустрий и механизмов осуществления их государственной поддержки до 2030 года, утвержденной распоряжением Правительства Российской Федерации от 20 сентября 2021 года N 2613-р, реализует культурно-просветительские программы с целью ознакомления обучающихся (в общем объеме не менее 144 академических часов) со следующими знаниями и навыками в сфере креативных (творческих) индустрий: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209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создание творческих проектов с использованием современных цифровых технологий в одном из направлений креативных индустрий;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организация самостоятельной работы обучающихся и работы в команде;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применение полученных знаний и умений при реализации творческих проектов в рамках образовательной программы;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самостоятельная и коллективная творческая проектная деятельность;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поэтапное распределение задач для достижения поставленной цели;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"студия школы креативных индустрий" - специализированное пространство для группы обучающихся, в котором организованы занятия по освоению знаний и навыков по направлениям креативных (творческих) индустрий.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210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5. Создание школ креативных индустрий включает в себя следующие </w:t>
      </w:r>
      <w:r w:rsidRPr="00145A53">
        <w:rPr>
          <w:rFonts w:ascii="PT Astra Serif" w:hAnsi="PT Astra Serif"/>
          <w:sz w:val="28"/>
          <w:szCs w:val="28"/>
        </w:rPr>
        <w:lastRenderedPageBreak/>
        <w:t>требования: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создание современного пространства для ведения культурно-просветительской деятельности, отвечающего санитарно-эпидемиологическим правилам и требованиям пожарной безопасности;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оснащение организации высокоскоростным широкополосным доступом к информационно-телекоммуникационной сети Интернет;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в) создание на базе организации не менее 3 студий школы креативных индустрий в соответствии с типовым проектом школы креативных индустрий, утверждаемым Министерством культуры Российской Федерации, по следующим направлениям: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звукорежиссура;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современная электронная музыка;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фото- и видеопроизводство;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анимация и 3D-графика;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дизайн;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интерактивные цифровые технологии VR и AR;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г) осуществление набора обучающихся в количестве не менее 60 человек в год, являющихся учениками 5 - 11 классов общеобразовательных организаций;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д) ведение культурно-просветительской деятельности по заявленным направлениям не менее 2 лет;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е) проведение в год не менее 3 культурно-просветительских, социально значимых и образовательных мероприятий.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6. Условиями предоставления субсидии являются: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наличие правового акта муниципального образования области, утверждающего перечень мероприятий (результатов), при реализации которых возникают расходные обязательства муниципального образования области, в целях софинансирования которых предоставляется субсидия;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заключение соглашения о предоставлении субсидии между министерством и муниципальным образованием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7. Предоставление субсидии из областного бюджета осуществляется на основании соглашения, заключенного с использованием государственной интегрированной информационной системы управления общественными финансами "Электронный бюджет", подготавливаемого (формируемого) в </w:t>
      </w:r>
      <w:r w:rsidRPr="00145A53">
        <w:rPr>
          <w:rFonts w:ascii="PT Astra Serif" w:hAnsi="PT Astra Serif"/>
          <w:sz w:val="28"/>
          <w:szCs w:val="28"/>
        </w:rPr>
        <w:lastRenderedPageBreak/>
        <w:t xml:space="preserve">соответствии с требованиями, установленными правилами, предусмотренными </w:t>
      </w:r>
      <w:hyperlink r:id="rId211">
        <w:r w:rsidRPr="00145A53">
          <w:rPr>
            <w:rFonts w:ascii="PT Astra Serif" w:hAnsi="PT Astra Serif"/>
            <w:sz w:val="28"/>
            <w:szCs w:val="28"/>
          </w:rPr>
          <w:t>абзацем первым пункта 3 статьи 132</w:t>
        </w:r>
      </w:hyperlink>
      <w:r w:rsidRPr="00145A53">
        <w:rPr>
          <w:rFonts w:ascii="PT Astra Serif" w:hAnsi="PT Astra Serif"/>
          <w:sz w:val="28"/>
          <w:szCs w:val="28"/>
        </w:rPr>
        <w:t xml:space="preserve"> Бюджетного кодекса Российской Федерации.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8. Оценка эффективности использования субсидии осуществляется министерством на основании сравнения фактически достигнутого значения результата использования субсидии и установленного соглашением планового значения результата использования субсидии.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9. Результатом использования субсидии является количество созданных школ креативных индустрий.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10. При создании школ креативных индустрий: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за счет средств субсидии софинансируются расходные обязательства: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технического, технологического оборудования и программного обеспечения, необходимого для оснащения школ креативных индустрий, включая его доставку, монтаж (демонтаж), погрузочно-разгрузочные работы;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212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07.11.2025 N 828-П)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школ креативных индустрий сценическими конструкциями и конструктивными элементами, включая их приобретение, изготовление, монтаж (демонтаж) и доставку;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за счет средств организации без софинансирования осуществляются: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высокоскоростным широкополосным доступом к информационно-телекоммуникационной сети Интернет;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проведение капитального ремонта или реконструкции зданий и (или) помещений, используемых организацией для создания школ креативных индустрий;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проведение пусконаладочных работ технического и технологического оборудования;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расходы на фонд оплаты труда, обучение и повышение квалификации сотрудников организации и иные расходы на обеспечение уставной деятельности организации для функционирования школы креативных индустрий.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11. Размер субсидии, предоставляемой бюджету муниципального образования области,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S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= 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x (Р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/ Р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>),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S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- объем субсидии из областного бюджета, предоставляемой бюджету i-го муниципального образования области на создание школ креативных индустрий;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- объем средств, предусмотренных в областном бюджете на софинансирование мероприятий муниципальных программ, предусматривающих создание школ креативных индустрий;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- потребность i-го муниципального образования области в средствах областного бюджета на создание школ креативных индустрий согласно заявке органа местного самоуправления муниципального образования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 xml:space="preserve"> - потребность в целом всех муниципальных образований области в средствах областного бюджета на создание школ креативных индустрий согласно заявкам органов местного самоуправления муниципальных образований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12. Перечисление субсидии бюджетам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осуществления и отражения операций по учету и распределению поступлений.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порядке, установленном Федеральным казначейством.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13. Предоставление субсидии бюджетам муниципальных образований области производится единовременно на основании соглашения о предоставлении субсидии, заключенного между министерством и органом местного самоуправления муниципального образования области в течение 20 рабочих дней со дня открытия на соответствующем лицевом счете УФК предельных объемов оплаты денежных обязательств, источником финансового обеспечения которых является субсидии из федерального бюджета.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14. Субсидия носит целевой характер и не подлежит направлению на иные цели.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15. Органы местного самоуправления муниципальных образований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Порядок предоставления отчетности об осуществлении расходов местного бюджета, в целях софинансирования которых предоставляется </w:t>
      </w:r>
      <w:r w:rsidRPr="00145A53">
        <w:rPr>
          <w:rFonts w:ascii="PT Astra Serif" w:hAnsi="PT Astra Serif"/>
          <w:sz w:val="28"/>
          <w:szCs w:val="28"/>
        </w:rPr>
        <w:lastRenderedPageBreak/>
        <w:t>субсидия, а также достижение значения результата использования субсидии, устанавливается в соглашении.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16. В случае нарушения муниципальным образованием области целей, установленных при предоставлении субсидии, применяются бюджетные меры принуждения, предусмотренные бюджетным законодательством Российской Федерации.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17. Порядок и условия возврата средств из бюджета муниципального образования области в областной бюджет в случае нарушения муниципальным образованием области обязательств, предусмотренных соглашением, а также основание для освобождения муниципального образования области от применения мер финансовой ответственности установлены законодательством.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18. Контроль за соблюдением муниципальными образованиями области условий предоставления субсидии осуществляется министерством и уполномоченными органами государственного финансового контроля.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14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СТРУКТУРА ГОСУДАРСТВЕННОЙ ПРОГРАММЫ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 "КУЛЬТУРА САРАТОВСКОЙ ОБЛАСТИ"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 30.12.2025 </w:t>
            </w:r>
            <w:hyperlink r:id="rId213">
              <w:r w:rsidRPr="00145A53">
                <w:rPr>
                  <w:rFonts w:ascii="PT Astra Serif" w:hAnsi="PT Astra Serif"/>
                  <w:sz w:val="28"/>
                  <w:szCs w:val="28"/>
                </w:rPr>
                <w:t>N 1015-П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, от 29.04.2026 </w:t>
            </w:r>
            <w:hyperlink r:id="rId214">
              <w:r w:rsidRPr="00145A53">
                <w:rPr>
                  <w:rFonts w:ascii="PT Astra Serif" w:hAnsi="PT Astra Serif"/>
                  <w:sz w:val="28"/>
                  <w:szCs w:val="28"/>
                </w:rPr>
                <w:t>N 321-П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rPr>
          <w:rFonts w:ascii="PT Astra Serif" w:hAnsi="PT Astra Serif"/>
          <w:sz w:val="28"/>
          <w:szCs w:val="28"/>
        </w:rPr>
        <w:sectPr w:rsidR="00145A53" w:rsidRPr="00145A53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7"/>
        <w:gridCol w:w="3758"/>
        <w:gridCol w:w="4989"/>
        <w:gridCol w:w="4139"/>
      </w:tblGrid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N п/п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Связь с показателями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Направление (подпрограмма) "Развитие искусства и творчества"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Региональный проект "Развитие театральной деятельности" (куратор - Попов Владимир Владимирович - заместитель Председателя Правительства области)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Срок реализации: 2024 - 2030 годы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1.1.1.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Создание и показ новых постановок и (или) укрепление материально-технической базы профессиональных репертуарных театров и учреждений культурно-досугового типа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усовершенствованы профессиональные репертуарные театры, находящиеся в населенных пунктах с численностью населения до 300 тыс. человек, путем создания новых постановок и (или) улучшения материально-технического оснащения;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усовершенствованы детские и кукольные театры путем создания новых постановок и (или) улучшения технического оснащения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число посещений культурных мероприятий;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увеличение числа посещений организаций культуры по отношению к 2023 году;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доля региональных и муниципальных театров, учреждений культурно-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досугового типа, в которых созданы новые постановки и (или) обеспечено развитие и укрепление материально-технической базы и созданию новых постановок, по отношению к запланированной к 2030 году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Региональный проект "Сохранение культурного и исторического наследия" (куратор - Попов Владимир Владимирович - заместитель Председателя Правительства области)</w:t>
            </w:r>
          </w:p>
        </w:tc>
      </w:tr>
      <w:tr w:rsidR="00145A53" w:rsidRPr="00145A53">
        <w:tblPrEx>
          <w:tblBorders>
            <w:insideH w:val="nil"/>
          </w:tblBorders>
        </w:tblPrEx>
        <w:tc>
          <w:tcPr>
            <w:tcW w:w="717" w:type="dxa"/>
            <w:tcBorders>
              <w:bottom w:val="nil"/>
            </w:tcBorders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  <w:tcBorders>
              <w:bottom w:val="nil"/>
            </w:tcBorders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области;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внутренней региональной и муниципальной политики области</w:t>
            </w:r>
          </w:p>
        </w:tc>
        <w:tc>
          <w:tcPr>
            <w:tcW w:w="9128" w:type="dxa"/>
            <w:gridSpan w:val="2"/>
            <w:tcBorders>
              <w:bottom w:val="nil"/>
            </w:tcBorders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Срок реализации: 2024 - 2030 годы</w:t>
            </w:r>
          </w:p>
        </w:tc>
      </w:tr>
      <w:tr w:rsidR="00145A53" w:rsidRPr="00145A53">
        <w:tblPrEx>
          <w:tblBorders>
            <w:insideH w:val="nil"/>
          </w:tblBorders>
        </w:tblPrEx>
        <w:tc>
          <w:tcPr>
            <w:tcW w:w="13603" w:type="dxa"/>
            <w:gridSpan w:val="4"/>
            <w:tcBorders>
              <w:top w:val="nil"/>
            </w:tcBorders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15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29.04.2026 N 321-П)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1.2.1.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Обеспечение фондов библиотек муниципальных образований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и государственных общедоступных библиотек области книгами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проведены мероприятия по комплектованию книжных фондов библиотек муниципальных образований и государственных общедоступных библиотек субъектов Российской Федерации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число посещений культурных мероприятий;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уровень удовлетворенности граждан работой государственных и муниципальных организаций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культуры, искусства и народного творчества;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увеличение числа посещений организаций культуры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по отношению к 2023 году;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увеличение книговыдачи в субъектах Российской Федерации по отношению к предыдущему году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1.2.2.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Увековечение памяти погибших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при защите Отечества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восстановлены (проведен ремонт, реставрация, благоустройство) воинские захоронения;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установлены мемориальные знаки;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обустроены места захоронений останков погибших при защите Отечества, обнаруженные в ходе проведения поисковых работ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доля обустроенных и восстановленных воинских захоронений к запланированным в текущем году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1.3.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"Музеи"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1.3.1.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Обеспечение доступа граждан к музейным ценностям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организованы и проведены мероприятия музеями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число посещений культурных мероприятий;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уровень удовлетворенности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граждан работой государственных и муниципальных организаций культуры, искусства и народного творчества;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увеличение числа посещений организаций культуры по отношению к 2023 году;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субъекту Российской Федерации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"Театры"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1.4.1.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Обеспечение доступа граждан к ценностям театрального искусства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организованы и проведены мероприятия театрами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число посещений культурных мероприятий;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уровень удовлетворенности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граждан работой государственных и муниципальных организаций культуры, искусства и народного творчества;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увеличение числа посещений организаций культуры по отношению к 2023 году;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доля региональных и муниципальных театров, учреждений культурно-досугового типа, в которых созданы новые постановки и (или) обеспечено развитие и укрепление материально-технической базы и созданию новых постановок, по отношению к запланированной к 2030 году;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субъекту Российской Федерации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1.5.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"Концертные организации и цирковые коллективы"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1.5.1.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Обеспечение доступа граждан к ценностям музыкального и циркового искусства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организованы и проведены мероприятия концертными организациями и цирковыми коллективами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число посещений культурных мероприятий;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увеличение числа посещений организаций культуры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по отношению к 2023 году;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субъекту Российской Федерации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1.6.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"Библиотеки"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1.6.1.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Обеспечение доступа граждан к фондам общедоступных публичных библиотек области (в печатном и в электронном виде)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организованы и проведены мероприятия библиотеками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число посещений культурных мероприятий;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увеличение числа посещений организаций культуры по отношению к 2023 году;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субъекту Российской Федерации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1.7.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"Культурно-досуговые учреждения"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1.7.1.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Обеспечение условий для развития народного творчества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организованы и проведены мероприятия культурно-досуговыми учреждениями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число посещений культурных мероприятий;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увеличение числа посещений организаций культуры по отношению к 2023 году;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субъекту Российской Федерации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2.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Направление (подпрограмма) "Образование в сфере культуры"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"Создание условий для развития образования в сфере культуры"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2.1.1.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Обеспечение доступности образовательных услуг в сфере культуры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организованы и проведены мероприятия образовательными учреждениями в сфере культуры;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обеспечена социальная поддержка детей-сирот и детей, оставшихся без попечения родителей;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обеспечены стипендиями и другими формами материальной поддержки обучающиеся областных государственных профессиональных образовательных организаций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субъекту Российской Федерации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Направление (подпрограмма) "Государственная охрана, сохранение и популяризация объектов культурного наследия"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3.1.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"Государственная охрана, сохранение и популяризация объектов культурного наследия"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 комитет культурного наследия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3.1.1.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Обеспечение объектов культурного наследия федерального и регионального значения предметами охраны, границами территорий, зонами охраны (за исключением объектов археологии) и актами технического состояния объектов культурного наследия, включенных в единый государственный реестр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обеспечена реализация функций и полномочий ГКУК "Научно-производственный центр по историко-культурному наследию Саратовской области"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доля объектов культурного наследия федерального и регионального значения, обеспеченных предметами охраны, границами территорий, зонами охраны (за исключением объектов археологии), от общего числа объектов культурного наследия федерального и регионального значения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Направление (подпрограмма) "Архивы"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4.1.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"Реализация государственных полномочий управления делами Правительства области в сфере архивного дела"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Ответственный за реализацию: управление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делами Правительства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-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4.1.1.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Обеспечение сохранности, учета документов и предоставление пользователям архивной информации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обеспечена сохранность, учет документов и представлена пользователям архивная информация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субъекту Российской Федерации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Направление (подпрограмма) "Творческое развития детей и молодежи в сфере культуры"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5.1.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Региональный проект "Поддержка социально ориентированных некоммерческих организаций в области культуры" (куратор - Попов Владимир Владимирович - заместитель Председателя Правительства области)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Срок реализации: 2025 - 2028 годы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5.1.1.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Реализация к концу 2030 года не менее 10 проектов социально ориентированных некоммерческих организаций в сфере культуры, ежегодно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оказана государственная поддержка социально ориентированным некоммерческим организациям в области культуры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отношение средней заработной платы работников учреждений культуры к среднемесячной начисленной заработной плате наемных работников в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организациях, у индивидуальных предпринимателей и физических лиц (среднемесячному доходу от трудовой деятельности) по субъекту Российской Федерации;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увеличение доли граждан, занимающихся волонтерской (добровольческой) деятельностью или вовлеченных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в деятельность волонтерских (добровольческих) организаций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5.2.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Региональный проект "Развитие искусства и творчества" (куратор - Попов Владимир Владимирович - заместитель Председателя Правительства области)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Срок реализации: 2025 - 2030 годы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5.2.1.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Граждане получают возможность поддержки творческих инициатив, направленных на укрепление российской гражданской идентичности и сохранение духовно-нравственных ценностей народов Российской Федерации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лучшим сельским учреждениям культуры предоставлено денежное поощрение;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лучшим работникам сельских учреждений культуры предоставлено денежное поощрение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число посещений культурных мероприятий;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увеличение числа посещений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организаций культуры по отношению к 2023 году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5.2.2.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Восполнены вакантные должности работников культуры, при замещении которых предоставляются единовременные компенсационные выплаты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работникам культуры предоставлены единовременные компенсационные выплаты в рамках реализации программы "Земский работник культуры"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субъекту Российской Федерации;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5.3.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"Создание условий для творческого развития детей и молодежи в сфере культуры"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5.3.1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Обеспечение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соответствующих условий для выявления и творческого развития художественно одаренных детей и молодежи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обеспечены выплаты стипендий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одаренным детям и молодежи и поощрены педагоги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отношение средней заработной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субъекту Российской Федерации;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5.4.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"Развитие кадрового потенциала сферы культуры"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5.4.1.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Создание условий для повышения квалификации специалистов учреждений сферы культуры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присуждены стипендии и другие денежные поощрения в сфере культуры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предпринимателей и физических лиц (среднемесячному доходу от трудовой деятельности) по субъекту Российской Федерации;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6.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Направление (подпрограмма) "Укрепление материально-технической базы и обеспечение деятельности учреждений в сфере культуры"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6.1.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Региональный проект "Семейные ценности и инфраструктура культуры (Саратовская область)" (куратор - Попов Владимир Владимирович - заместитель Председателя Правительства области)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Срок реализации: 2025 - 2030 годы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6.1.1.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Граждане получают дополнительные возможности для посещения и участия в культурно-просветительских мероприятиях и для обеспечения семейного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досуга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проведена модернизация учреждений культурно-досугового типа в населенных пунктах с численностью до 500 тыс. чел.;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проведена модернизация региональных и муниципальных библиотек;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технически оснащены региональные и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муниципальные музеи;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переоснащены муниципальные библиотеки по модельному стандарту;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проведена модернизация музеев, находящихся в региональной и муниципальной собственности;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проведена модернизация театров, находящихся в региональной и муниципальной собственности;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оснащены региональные и муниципальные театры, находящиеся в городах с численностью населения более 300 тыс. человек;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поощрены библиотеки по итогам проведения ежегодного Всероссийского конкурса среди библиотек для выявления лучших практик работы;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поощрены дома культуры по итогам проведения ежегодного Всероссийского конкурса среди домов культуры для выявления лучших практик работы;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созданы детские культурно-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просветительские центры на базе учреждений культуры;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проведена модернизация региональных и муниципальных детских школ искусств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уровень обеспеченности субъектов Российской Федерации организациями культуры;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доля созданных, реконструированных объектов культуры от общего количества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таких объектов, запланированных к вводу до 2030 года;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доля зданий учреждений культуры, находящихся в удовлетворительном состоянии, в общем количестве зданий данных учреждений;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число посещений культурных мероприятий;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увеличение числа посещений организаций культуры по отношению к 2023 году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6.1.2.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Гражданам предоставлена возможность расширения доступа к творческим мероприятиям, направленным в том числе на сохранение семейных ценностей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приобретены с использованием Пушкинской карты билеты на посещение мероприятий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число посещений культурных мероприятий;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увеличение числа посещений организаций культуры по отношению к 2023 году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6.2.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Региональный проект "Развитие культурной инфраструктуры" (куратор - Попов Владимир Владимирович - заместитель Председателя Правительства области)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Срок реализации: 2024 - 2030 годы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6.2.1.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Реализация проектов по строительству (реконструкции) объектов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региональной (муниципальной) собственности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укреплена материально-техническая база областных учреждений культуры и искусства области;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осуществлен капитальный (текущий) ремонт, обеспечено техническое оснащение муниципальных учреждений культурно-досугового типа;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созданы условия для реализации проектов по строительству (реконструкции) объектов региональной (муниципальной) собственности;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завершены работы (этапы работ) по сохранению объекта культурного наследия регионального значения "Театр оперы и балета, 1864 г., 1959 - 1961 гг., расположенного по адресу: г. Саратов, пл. Театральная, 1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уровень обеспеченности субъектов Российской Федерации организациями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культуры;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доля созданных, реконструированных объектов культуры от общего количества таких объектов, запланированных к вводу до 2030 года;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доля зданий учреждений культуры, находящихся в удовлетворительном состоянии, в общем количестве зданий данных учреждений;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число посещений культурных мероприятий;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увеличение числа посещений организаций культуры по отношению к 2023 году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6.2.2.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Создание и показ новых постановок и (или) укрепление материально-технической базы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профессиональных репертуарных театров и учреждений культурно-досугового типа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государственными и муниципальными учреждениями культурно-досугового типа в населенных пунктах с числом жителей до 50 тыс. человек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реализованы мероприятия по развитию и укреплению материально-технической базы;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обеспечено развитие и укрепление материально-технической базы домов культуры в населенных пунктах с числом жителей до 50 тысяч человек (средства для достижения показателей результативности)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уровень обеспеченности субъектов Российской Федерации организациями культуры;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доля зданий учреждений культуры, находящихся в удовлетворительном состоянии, в общем количестве зданий данных учреждений;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число посещений культурных мероприятий;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увеличение числа посещений организаций культуры по отношению к 2023 году;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доля региональных и муниципальных театров, учреждений культурно-досугового типа, в которых созданы новые постановки и (или) обеспечено развитие и укрепление материально-технической базы и созданию новых постановок, по отношению к запланированной к 2030 году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6.2.3.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Проведение работ по сохранению объекта культурного наследия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созданы условия для реновации региональных и (или) муниципальных организаций отрасли культуры, направленные на улучшение качества культурной среды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доля созданных, реконструированных объектов культуры от общего количества таких объектов, запланированных к вводу до 2030 года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6.3.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"Создание условий для укрепления материально-технической базы учреждений в сфере культуры"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6.3.1.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Обеспечение благоприятных условий для оказания услуг всем категориям населения и обеспечение образовательного процесса в сфере культуры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оснащена и укреплена материально-техническая база муниципальных образовательных организаций в сфере культуры;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оснащена и укреплена материально-техническая база областных образовательных организаций в сфере культуры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6.4.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"Независимая оценка качества условий оказания услуг в сфере культуры"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министерство культуры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-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6.4.1.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Обеспечение информацией о качестве условий оказания услуг организациями в сфере культуры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собрана и обобщена информация о качестве условий оказания услуг организациями в сфере культуры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обеспеченности субъектов Российской Федерации организациями культуры;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Направление (подпрограмма) "Популяризация культурных традиций"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7.1.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"Популяризация культурных традиций"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7.1.1.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Обеспечение проведения государственных праздников и значимых событий общества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организованы и проведены мероприятия, посвященные государственным праздникам, значимым событиям общества, российской культуры и развитию культурного сотрудничества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Направление (подпрограмма) "Гармонизация межнациональных отношений и этнокультурное развитие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народов Саратовской области"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8.1.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Региональный проект "Реализация государственной национальной политики на территории Саратовской области" (куратор - Орлов Михаил Игоревич - вице-губернатор области - руководитель аппарата Губернатора области)</w:t>
            </w:r>
          </w:p>
        </w:tc>
      </w:tr>
      <w:tr w:rsidR="00145A53" w:rsidRPr="00145A53">
        <w:tblPrEx>
          <w:tblBorders>
            <w:insideH w:val="nil"/>
          </w:tblBorders>
        </w:tblPrEx>
        <w:tc>
          <w:tcPr>
            <w:tcW w:w="717" w:type="dxa"/>
            <w:tcBorders>
              <w:bottom w:val="nil"/>
            </w:tcBorders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  <w:tcBorders>
              <w:bottom w:val="nil"/>
            </w:tcBorders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 министерство внутренней региональной и муниципальной политики области</w:t>
            </w:r>
          </w:p>
        </w:tc>
        <w:tc>
          <w:tcPr>
            <w:tcW w:w="9128" w:type="dxa"/>
            <w:gridSpan w:val="2"/>
            <w:tcBorders>
              <w:bottom w:val="nil"/>
            </w:tcBorders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Срок реализации: 2025 - 2027 годы</w:t>
            </w:r>
          </w:p>
        </w:tc>
      </w:tr>
      <w:tr w:rsidR="00145A53" w:rsidRPr="00145A53">
        <w:tblPrEx>
          <w:tblBorders>
            <w:insideH w:val="nil"/>
          </w:tblBorders>
        </w:tblPrEx>
        <w:tc>
          <w:tcPr>
            <w:tcW w:w="13603" w:type="dxa"/>
            <w:gridSpan w:val="4"/>
            <w:tcBorders>
              <w:top w:val="nil"/>
            </w:tcBorders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16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29.04.2026 N 321-П)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8.1.1.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Укрепление гражданского единства, гражданского самосознания и сохранения самобытности многонационального народа Российской Федерации (российской нации), обеспечение межнационального и межрелигиозного мира и согласия, гармонизации межнациональных (межэтнических) отношений, содействие этнокультурному и духовному развитию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народов Российской Федерации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организованы и проведены мероприятия, направленные на укрепление общероссийского гражданского единства и на этнокультурное развитие народов России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количество участников мероприятий, направленных на укрепление общероссийского гражданского единства, на гармонизацию межнациональных отношений и этнокультурное развитие народов Саратовской области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8.2.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"Создание условий для гармонизации межнациональных отношений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и этнокультурного развития народов Саратовской области"</w:t>
            </w:r>
          </w:p>
        </w:tc>
      </w:tr>
      <w:tr w:rsidR="00145A53" w:rsidRPr="00145A53">
        <w:tblPrEx>
          <w:tblBorders>
            <w:insideH w:val="nil"/>
          </w:tblBorders>
        </w:tblPrEx>
        <w:tc>
          <w:tcPr>
            <w:tcW w:w="717" w:type="dxa"/>
            <w:tcBorders>
              <w:bottom w:val="nil"/>
            </w:tcBorders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  <w:tcBorders>
              <w:bottom w:val="nil"/>
            </w:tcBorders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 министерство внутренней региональной и муниципальной политики области</w:t>
            </w:r>
          </w:p>
        </w:tc>
        <w:tc>
          <w:tcPr>
            <w:tcW w:w="9128" w:type="dxa"/>
            <w:gridSpan w:val="2"/>
            <w:tcBorders>
              <w:bottom w:val="nil"/>
            </w:tcBorders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145A53" w:rsidRPr="00145A53">
        <w:tblPrEx>
          <w:tblBorders>
            <w:insideH w:val="nil"/>
          </w:tblBorders>
        </w:tblPrEx>
        <w:tc>
          <w:tcPr>
            <w:tcW w:w="13603" w:type="dxa"/>
            <w:gridSpan w:val="4"/>
            <w:tcBorders>
              <w:top w:val="nil"/>
            </w:tcBorders>
          </w:tcPr>
          <w:p w:rsidR="00145A53" w:rsidRPr="00145A53" w:rsidRDefault="00145A5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17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29.04.2026 N 321-П)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8.2.1.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Содействие укреплению гражданского единства и гармонизации межнациональных отношений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организованы и проведены культурно-массовые мероприятия, направленные на сохранение традиций и укрепление межнациональных отношений, совместно с национально-культурными автономиями и социально ориентированными некоммерческими организациями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количество участников мероприятий, направленных на укрепление общероссийского гражданского единства, на гармонизацию межнациональных отношений и этнокультурное развитие народов Саратовской области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9.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Направление (подпрограмма) "Туризм"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9.1.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Региональный проект "Создание номерного фонда, инфраструктуры и новых точек притяжения" (куратор - Попов Владимир Владимирович - заместитель Председателя Правительства области)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Срок реализации: 2025 - 2030 годы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9.1.1.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За счет создания и развития современной и качественной туристской инфраструктуры в регионах увеличивается число новых поездок по России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реализованы мероприятия субъектами Российской Федерации в рамках предоставления единой субсидии из федерального бюджета бюджетам субъектов Российской Федерации;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реализованы мероприятия по поддержке инвестиционных проектов по созданию модульных некапитальных средств размещения;</w:t>
            </w:r>
          </w:p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создана инженерная и транспортная инфраструктура в целях развития туристских кластеров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количество туристических поездок по территории Российской Федерации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9.2.</w:t>
            </w:r>
          </w:p>
        </w:tc>
        <w:tc>
          <w:tcPr>
            <w:tcW w:w="12886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области"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Ответственный за реализацию: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министерство культуры области</w:t>
            </w:r>
          </w:p>
        </w:tc>
        <w:tc>
          <w:tcPr>
            <w:tcW w:w="9128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145A53" w:rsidRPr="00145A53">
        <w:tc>
          <w:tcPr>
            <w:tcW w:w="71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9.2.1.</w:t>
            </w:r>
          </w:p>
        </w:tc>
        <w:tc>
          <w:tcPr>
            <w:tcW w:w="3758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Формирование единого туристического информационного пространства Саратовской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498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оказана государственная поддержка на организацию деятельности автономной некоммерческой организации "Туристский информационный центр </w:t>
            </w: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Саратовской области"</w:t>
            </w:r>
          </w:p>
        </w:tc>
        <w:tc>
          <w:tcPr>
            <w:tcW w:w="4139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количество российских и международных специализированных выставок, в которых принято участие</w:t>
            </w:r>
          </w:p>
        </w:tc>
      </w:tr>
    </w:tbl>
    <w:p w:rsidR="00145A53" w:rsidRPr="00145A53" w:rsidRDefault="00145A53">
      <w:pPr>
        <w:pStyle w:val="ConsPlusNormal"/>
        <w:rPr>
          <w:rFonts w:ascii="PT Astra Serif" w:hAnsi="PT Astra Serif"/>
          <w:sz w:val="28"/>
          <w:szCs w:val="28"/>
        </w:rPr>
        <w:sectPr w:rsidR="00145A53" w:rsidRPr="00145A53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15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ПОРЯДОК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СУБСИДИИ БЮДЖЕТАМ МУНИЦИПАЛЬНЫХ РАЙОНОВ И ГОРОДСКИХ ОКРУГОВ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ОБЛАСТИ НА МОДЕРНИЗАЦИЮ МУНИЦИПАЛЬНЫХ БИБЛИОТЕК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Утратил силу. - </w:t>
      </w:r>
      <w:hyperlink r:id="rId218">
        <w:r w:rsidRPr="00145A5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11.02.2026 N 79-П.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16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ПОРЯДОК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СУБСИДИИ БЮДЖЕТАМ МУНИЦИПАЛЬНЫХ РАЙОНОВ, ГОРОДСКИХ ОКРУГОВ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ПОСЕЛЕНИЙ ОБЛАСТИ НА МОДЕРНИЗАЦИЮ УЧРЕЖДЕНИЙ КУЛЬТУРЫ,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ВКЛЮЧАЯ СОЗДАНИЕ ДЕТСКИХ КУЛЬТУРНО-ПРОСВЕТИТЕЛЬСКИХ ЦЕНТРОВ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 БАЗЕ УЧРЕЖДЕНИЙ КУЛЬТУРЫ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(введен </w:t>
            </w:r>
            <w:hyperlink r:id="rId219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 11.02.2026 N 79-П)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0" w:name="P1813"/>
      <w:bookmarkEnd w:id="10"/>
      <w:r w:rsidRPr="00145A53">
        <w:rPr>
          <w:rFonts w:ascii="PT Astra Serif" w:hAnsi="PT Astra Serif"/>
          <w:sz w:val="28"/>
          <w:szCs w:val="28"/>
        </w:rPr>
        <w:lastRenderedPageBreak/>
        <w:t>1. Настоящий Порядок определяет цели, методику и условия предоставления из областного бюджета субсидии бюджетам муниципальных районов, городских округов и поселений области на модернизацию учреждений культуры, включая создание детских культурно-просветительских центров на базе учреждений культуры, возникающих при реализации регионального проекта "Семейные ценности и инфраструктура культуры" государственной программы Саратовской области "Культура Саратовской области" (далее - субсидия), и предусматривающих модернизацию учреждений культуры, путем реализации следующих мероприятий: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создание детских культурно-просветительских центров на базе учреждений культуры (далее - создание детских центров);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поощрение библиотек по итогам проведения ежегодного Всероссийского конкурса среди библиотек для выявления лучших практик работы (далее - конкурс библиотек);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в) поощрение домов культуры по итогам проведения ежегодного Всероссийского конкурса среди домов культуры для выявления лучших практик работы (далее - конкурс домов культуры).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2. Понятия, используемые в настоящем Порядке: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учреждения культуры - муниципальные музеи, библиотеки и учреждения культурно-досугового типа и филиалы вышеуказанных учреждений;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детские культурно-просветительские центры - современные, универсальные и комфортные пространства на базе учреждений культуры, на площадках которых развиваются и апробируются культурно-просветительские программы, направленные на творческое и интеллектуальное развитие детско-подростковой аудитории (далее - детские центры);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дома культуры - муниципальные учреждения культурно-досугового типа (и их филиалы), в том числе дома и дворцы культуры, дома народного творчества, клубы, центры культурного развития, этнокультурные центры, центры культуры и досуга, центры традиционной культуры, дома фольклора, дома и центры ремесел, дома досуга, культурно-досуговые и культурно-спортивные центры.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1" w:name="P1821"/>
      <w:bookmarkEnd w:id="11"/>
      <w:r w:rsidRPr="00145A53">
        <w:rPr>
          <w:rFonts w:ascii="PT Astra Serif" w:hAnsi="PT Astra Serif"/>
          <w:sz w:val="28"/>
          <w:szCs w:val="28"/>
        </w:rPr>
        <w:t xml:space="preserve">3. Субсидии муниципальным образованиям области на цели, предусмотренные </w:t>
      </w:r>
      <w:hyperlink w:anchor="P1813">
        <w:r w:rsidRPr="00145A53">
          <w:rPr>
            <w:rFonts w:ascii="PT Astra Serif" w:hAnsi="PT Astra Serif"/>
            <w:sz w:val="28"/>
            <w:szCs w:val="28"/>
          </w:rPr>
          <w:t>пунктом 1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настоящего Порядка, предоставляются в пределах лимитов бюджетных обязательств, доведенных в установленном порядке до министерства культуры области (далее - Министерство) как получателя средств областного бюджета в целях софинансирования </w:t>
      </w:r>
      <w:r w:rsidRPr="00145A53">
        <w:rPr>
          <w:rFonts w:ascii="PT Astra Serif" w:hAnsi="PT Astra Serif"/>
          <w:sz w:val="28"/>
          <w:szCs w:val="28"/>
        </w:rPr>
        <w:lastRenderedPageBreak/>
        <w:t>расходных обязательств при реализации мероприятий: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по созданию детских центров на: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текущий ремонт, в том числе визуальное оформление предоставленных для создания детских центров помещений (в том числе закупка расходных материалов);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оборудования, технических средств и прочих основных средств, необходимых для осуществления работы детских центров (включая доставку, погрузочно-разгрузочные работы, монтаж, установку, а также пусконаладочные работы), в соответствии с целями детского центра по профилю деятельности учреждения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специализированного оборудования для работы с людьми с ограниченными возможностями здоровья (включая доставку, монтаж, установку, погрузочно-разгрузочные работы, а также пусконаладочные работы);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создание мультимедийного контента для организации работы в детском центре, отвечающего требованиям государственной программы импортозамещения и являющегося продуктом российского производителя;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технического, технологического оборудования и программного обеспечения, необходимого для оснащения детских центров, включая его доставку, монтаж (демонтаж), погрузочно-разгрузочные работы;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профессиональной переподготовки и повышения квалификации работников учреждения культуры, непосредственно осуществляющих деятельность в детских центрах;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поощрение победителей ежегодного Всероссийского конкурса среди библиотек для выявления лучших практик работы (далее - конкурс библиотек) на: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текущий ремонт помещений библиотеки;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оборудования и технических средств, необходимых для деятельности библиотеки (включая доставку, погрузочно-разгрузочные работы, монтаж, установку, а также пусконаладочные работы);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специального программного обеспечения для создания информационных и презентационных материалов, кино-, видео-, аудио- и фотопродукции, а также мультимедийной продукции;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пополнение фонда библиотеки новыми книжными и периодическими изданиями;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приобретение специализированного оборудования для работы с людьми </w:t>
      </w:r>
      <w:r w:rsidRPr="00145A53">
        <w:rPr>
          <w:rFonts w:ascii="PT Astra Serif" w:hAnsi="PT Astra Serif"/>
          <w:sz w:val="28"/>
          <w:szCs w:val="28"/>
        </w:rPr>
        <w:lastRenderedPageBreak/>
        <w:t>с ограниченными возможностями здоровья (включая доставку, монтаж, установку, погрузочно-разгрузочные работы, а также пусконаладочные работы);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мебели (включая доставку, погрузочно-разгрузочные работы, монтаж, установку, а также пусконаладочные работы);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декорирование помещений и обеспечение навигации;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профессиональной переподготовки и повышения квалификации работников библиотеки;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в) поощрение домов культуры, поощренных по итогам проведения ежегодного Всероссийского конкурса среди домов культуры для выявления лучших практик работы (далее - конкурс домов культуры) на: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текущий ремонт помещений дома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оборудования и технических средств, необходимых для деятельности дома культуры (включая доставку, погрузочно-разгрузочные работы, монтаж, установку, а также пусконаладочные работы);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специализированного оборудования для работы с людьми с ограниченными возможностями здоровья (включая доставку, монтаж, установку, погрузочно-разгрузочные работы, а также пусконаладочные работы);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специального программного обеспечения для создания информационных и презентационных материалов, кино-, видео-, аудио- и фотопродукции, а также мультимедийной продукции;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мебели (включая доставку, погрузочно-разгрузочные работы, монтаж, установку, а также пусконаладочные работы);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декорирование помещений и обеспечение навигации;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профессиональной переподготовки и повышения квалификации работников дома культуры.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4. Отбор муниципальных образований области для предоставления субсидии осуществляется по следующим критериям: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наличие заявки от органа местного самоуправления муниципального образования области в свободной форме на предоставление субсидии за счет средств областного бюджета с указанием муниципального учреждения культуры, прошедшего отбор Министерством культуры Российской Федерации для получения субсидии на модернизацию учреждений культуры, включая создание детских культурно-просветительских центров на базе учреждений культуры, в рамках государственной </w:t>
      </w:r>
      <w:hyperlink r:id="rId220">
        <w:r w:rsidRPr="00145A53">
          <w:rPr>
            <w:rFonts w:ascii="PT Astra Serif" w:hAnsi="PT Astra Serif"/>
            <w:sz w:val="28"/>
            <w:szCs w:val="28"/>
          </w:rPr>
          <w:t>программы</w:t>
        </w:r>
      </w:hyperlink>
      <w:r w:rsidRPr="00145A53">
        <w:rPr>
          <w:rFonts w:ascii="PT Astra Serif" w:hAnsi="PT Astra Serif"/>
          <w:sz w:val="28"/>
          <w:szCs w:val="28"/>
        </w:rPr>
        <w:t xml:space="preserve"> Российской </w:t>
      </w:r>
      <w:r w:rsidRPr="00145A53">
        <w:rPr>
          <w:rFonts w:ascii="PT Astra Serif" w:hAnsi="PT Astra Serif"/>
          <w:sz w:val="28"/>
          <w:szCs w:val="28"/>
        </w:rPr>
        <w:lastRenderedPageBreak/>
        <w:t>Федерации "Развитие культуры", утвержденной постановлением Правительства Российской Федерации от 15 апреля 2014 года N 317;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гарантии органа местного самоуправления муниципального образования области, обеспечивающей последующее профильное использование модернизированных учреждений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локально-сметного расчета на модернизацию муниципальных учреждений культуры, включая создание детских культурно-просветительских центров на базе учреждений культуры.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5. Субсидия предоставляется по результатам отбора заявок, проводимого Министерством культуры Российской Федерации в году, предшествующем году предоставления субсидии.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6. Размер субсидии, предоставляемый бюджету i-го муниципального образования области (V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),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  <w:lang w:val="en-US"/>
        </w:rPr>
      </w:pPr>
      <w:r w:rsidRPr="00145A53">
        <w:rPr>
          <w:rFonts w:ascii="PT Astra Serif" w:hAnsi="PT Astra Serif"/>
          <w:sz w:val="28"/>
          <w:szCs w:val="28"/>
          <w:lang w:val="en-US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145A53">
        <w:rPr>
          <w:rFonts w:ascii="PT Astra Serif" w:hAnsi="PT Astra Serif"/>
          <w:sz w:val="28"/>
          <w:szCs w:val="28"/>
          <w:lang w:val="en-US"/>
        </w:rPr>
        <w:t>= V1</w:t>
      </w:r>
      <w:r w:rsidRPr="00145A53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145A53">
        <w:rPr>
          <w:rFonts w:ascii="PT Astra Serif" w:hAnsi="PT Astra Serif"/>
          <w:sz w:val="28"/>
          <w:szCs w:val="28"/>
          <w:lang w:val="en-US"/>
        </w:rPr>
        <w:t xml:space="preserve"> + V2</w:t>
      </w:r>
      <w:r w:rsidRPr="00145A53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145A53">
        <w:rPr>
          <w:rFonts w:ascii="PT Astra Serif" w:hAnsi="PT Astra Serif"/>
          <w:sz w:val="28"/>
          <w:szCs w:val="28"/>
          <w:lang w:val="en-US"/>
        </w:rPr>
        <w:t xml:space="preserve"> + V3</w:t>
      </w:r>
      <w:r w:rsidRPr="00145A53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145A53">
        <w:rPr>
          <w:rFonts w:ascii="PT Astra Serif" w:hAnsi="PT Astra Serif"/>
          <w:sz w:val="28"/>
          <w:szCs w:val="28"/>
          <w:lang w:val="en-US"/>
        </w:rPr>
        <w:t xml:space="preserve">, </w:t>
      </w:r>
      <w:r w:rsidRPr="00145A53">
        <w:rPr>
          <w:rFonts w:ascii="PT Astra Serif" w:hAnsi="PT Astra Serif"/>
          <w:sz w:val="28"/>
          <w:szCs w:val="28"/>
        </w:rPr>
        <w:t>где</w:t>
      </w:r>
      <w:r w:rsidRPr="00145A53">
        <w:rPr>
          <w:rFonts w:ascii="PT Astra Serif" w:hAnsi="PT Astra Serif"/>
          <w:sz w:val="28"/>
          <w:szCs w:val="28"/>
          <w:lang w:val="en-US"/>
        </w:rPr>
        <w:t>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общий размер субсидии, предоставляемой бюджету i-го муниципального образования области на реализацию мероприятий, указанных в </w:t>
      </w:r>
      <w:hyperlink w:anchor="P1821">
        <w:r w:rsidRPr="00145A53">
          <w:rPr>
            <w:rFonts w:ascii="PT Astra Serif" w:hAnsi="PT Astra Serif"/>
            <w:sz w:val="28"/>
            <w:szCs w:val="28"/>
          </w:rPr>
          <w:t>пункте 3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настоящего Порядка;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V1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предоставляемой бюджету i-го муниципального образования области на реализацию мероприятий по созданию детских центров на соответствующий финансовый год;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V2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предоставляемой бюджету i-го муниципального образования области на мероприятие по поощрению победителей конкурса библиотек на соответствующий финансовый год;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V3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предоставляемой бюджету i-го муниципального образования области на мероприятие по поощрению победителей конкурса домов культуры на соответствующий финансовый год.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7. Размер субсидии, предоставляемой бюджету i-го муниципального образования области на реализацию мероприятий по созданию детских центров в соответствующем финансовом году (V1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),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V1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= 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x 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/ 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>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- объем средств, предусмотренных в областном бюджете на софинансирование мероприятий муниципальных программ, предусматривающих реализацию мероприятий по созданию детских центров;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- потребность i-го муниципального образования области в средствах </w:t>
      </w:r>
      <w:r w:rsidRPr="00145A53">
        <w:rPr>
          <w:rFonts w:ascii="PT Astra Serif" w:hAnsi="PT Astra Serif"/>
          <w:sz w:val="28"/>
          <w:szCs w:val="28"/>
        </w:rPr>
        <w:lastRenderedPageBreak/>
        <w:t>областного бюджета на реализацию мероприятий по созданию детских центров согласно заявке органа местного самоуправления муниципального образования области, определяемой в соответствии с расчетом стоимости закупаемых товаров (работ, услуг), сформированным на основании не менее трех коммерческих предложений поставщиков (в части по созданию детских центров), а также расчетом стоимости потребности на реализацию мероприятий по созданию детских центров;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 xml:space="preserve"> - потребность в целом всех муниципальных образований области в средствах областного бюджета на реализацию мероприятий по созданию детских центров согласно заявкам органов местного самоуправления муниципальных образований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8. Размер субсидии, предоставляемой бюджету i-го муниципального образования области на реализацию мероприятий по поощрению победителей конкурса библиотек в соответствующем финансовом году (V2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),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V2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= 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x 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/ 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>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- объем средств, предусмотренных в областном бюджете на софинансирование мероприятий муниципальных программ, предусматривающих реализацию мероприятий по поощрению победителей конкурса библиотек;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- потребность i-го муниципального образования области в средствах областного бюджета на реализацию мероприятий по поощрению победителей конкурса библиотек согласно заявке органа местного самоуправления муниципального образования области, определяемой в соответствии с расчетом стоимости закупаемых товаров (работ, услуг), сформированным на основании не менее трех коммерческих предложений поставщиков (в части мероприятий конкурса библиотек), а также расчетом стоимости потребности на реализацию мероприятий конкурса библиотек;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 xml:space="preserve"> - потребность в целом всех муниципальных образований области в средствах областного бюджета на реализацию мероприятий по поощрению победителей конкурса библиотек согласно заявкам органов местного самоуправления муниципальных образований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9. Размер субсидии, предоставляемой бюджету i-го муниципального образования области на реализацию мероприятий по поощрению победителей конкурса домов культуры в соответствующем финансовом году (V3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),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V3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= 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x 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/ 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</w:t>
      </w:r>
      <w:r w:rsidRPr="00145A53">
        <w:rPr>
          <w:rFonts w:ascii="PT Astra Serif" w:hAnsi="PT Astra Serif"/>
          <w:sz w:val="28"/>
          <w:szCs w:val="28"/>
        </w:rPr>
        <w:t>.,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Vо - объем средств, предусмотренных в областном бюджете на софинансирование мероприятий муниципальных программ, предусматривающих реализацию мероприятий по поощрению победителей конкурса домов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Pоi - потребность i-го муниципального образования области в средствах областного бюджета на реализацию мероприятий по поощрению победителей конкурса домов культуры согласно заявке органа местного самоуправления муниципального образования области, определяемой в соответствии с расчетом стоимости закупаемых товаров (работ, услуг), сформированным на основании не менее трех коммерческих предложений поставщиков (в части мероприятий конкурса домов культуры), а также расчетом стоимости потребности на реализацию мероприятий по поощрению победителей конкурса домов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Pо общ. - потребность в целом всех муниципальных образований области в средствах областного бюджета на реализацию мероприятий по поощрению победителей конкурса домов культуры согласно заявкам органов местного самоуправления муниципальных образований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10. Условиями предоставления субсидии бюджету муниципального образования области являются: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наличие соглашения между Министерством и органом местного самоуправления муниципального образования области, заключаемого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221">
        <w:r w:rsidRPr="00145A53">
          <w:rPr>
            <w:rFonts w:ascii="PT Astra Serif" w:hAnsi="PT Astra Serif"/>
            <w:sz w:val="28"/>
            <w:szCs w:val="28"/>
          </w:rPr>
          <w:t>пункта 10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 - Соглашение), о предоставлении из бюджета Саратовской области субсидии бюджету муниципального образования области, предусматривающего обязательства муниципального образования области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централизация закупок товаров, финансовое обеспечение которых частично или полностью осуществляется за счет субсидии.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11. Перечисление субсидии бюджетам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осуществления и отражения операций по учету и распределению поступлений.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субсидий из областного бюджета местным бюджетам осуществляется в порядке, установленном Федеральным казначейством.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12. Перечисление субсидии бюджетам муниципальных образований области осуществляется на основании Соглашения в течение 30 рабочих дней со дня открытия на соответствующем лицевом счете в УФК предельных объемов оплаты денежных обязательств, источником финансового обеспечения которых являются средства федерального бюджета, на основании заявки на предоставление субсидии органом местного самоуправления муниципального образования области, но не позднее 1 ноября текущего года.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13. Субсидия носит целевой характер и не подлежит направлению на иные цели.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14. Органы местного самоуправления муниципальных образований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15.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16. Сроки, форма и порядок представления отчетности об осуществлении расходов местного бюджета, в целях софинансирования которых предоставляется субсидия, а также о достижении значений результатов использования субсидии устанавливаются в Соглашении.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17. Не использованные по состоянию на 1 января финансового года, следующего за годом предоставления субсидии, остатки субсидии, находящиеся на едином счете местного бюджета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финансового года, следующего за годом предоставления субсидии.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случае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18. Результатом использования субсидии является: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для мероприятия по созданию детских центров - "созданы детские культурно-просветительские центры на базе учреждений культуры";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б) для мероприятия по поощрению победителей конкурса библиотек - </w:t>
      </w:r>
      <w:r w:rsidRPr="00145A53">
        <w:rPr>
          <w:rFonts w:ascii="PT Astra Serif" w:hAnsi="PT Astra Serif"/>
          <w:sz w:val="28"/>
          <w:szCs w:val="28"/>
        </w:rPr>
        <w:lastRenderedPageBreak/>
        <w:t>"поощрены библиотеки по итогам проведения ежегодного Всероссийского конкурса среди библиотек для выявления лучших практик работы";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в) для мероприятия по поощрению победителей конкурса домов культуры - "поощрены дома культуры по итогам проведения ежегодного Всероссийского конкурса среди домов культуры для выявления лучших практик работы".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Значения и сроки достижения результатов устанавливаются Соглашениями.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19. Предельный уровень софинансирования из областного бюджета расходных обязательств муниципальных образований области устанавливается в соответствии с </w:t>
      </w:r>
      <w:hyperlink r:id="rId222">
        <w:r w:rsidRPr="00145A53">
          <w:rPr>
            <w:rFonts w:ascii="PT Astra Serif" w:hAnsi="PT Astra Serif"/>
            <w:sz w:val="28"/>
            <w:szCs w:val="28"/>
          </w:rPr>
          <w:t>пунктом 3</w:t>
        </w:r>
      </w:hyperlink>
      <w:r w:rsidRPr="00145A53">
        <w:rPr>
          <w:rFonts w:ascii="PT Astra Serif" w:hAnsi="PT Astra Serif"/>
          <w:sz w:val="28"/>
          <w:szCs w:val="28"/>
        </w:rPr>
        <w:t xml:space="preserve"> Положения о порядке определения и установления предельного уровня софинансирования Саратовской областью (в процентах) объема расходного обязательства муниципального образования Саратовской области, утвержденного постановлением Правительства Саратовской области от 22 ноября 2019 года N 820-П "О порядке определения и установления предельного уровня софинансирования Саратовской областью (в процентах) объема расходного обязательства муниципального образования Саратовской области".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17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ПОЛОЖЕНИЕ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 МЕТОДИКЕ РАСПРЕДЕЛЕНИЯ И ПОРЯДКЕ ПРЕДОСТАВЛЕНИЯ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СУБСИДИИ БЮДЖЕТАМ МУНИЦИПАЛЬНЫХ РАЙОНОВ, ГОРОДСКИХ ОКРУГОВ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ПОСЕЛЕНИЙ ОБЛАСТИ НА РЕАЛИЗАЦИЮ МЕРОПРИЯТИЙ ПО ОБЕСПЕЧЕНИЮ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СОХРАННОСТИ ВОИНСКИХ ЗАХОРОНЕНИЙ НА ТЕРРИТОРИИ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РОССИЙСКОЙ ФЕДЕРАЦИИ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(введено </w:t>
            </w:r>
            <w:hyperlink r:id="rId223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 11.02.2026 N 79-П;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в ред. </w:t>
            </w:r>
            <w:hyperlink r:id="rId224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 29.04.2026 N 321-П)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1. Настоящее Положение устанавливает цели, условия и порядок предоставления и распределения из областного бюджета субсидии бюджетам муниципальных районов, городских округов и поселений области на реализацию мероприятий по обеспечению сохранности воинских захоронений на территории Российской Федерации (далее - субсидия) в рамках реализации регионального проекта "Сохранение культурного и исторического наследия" государственной программы Саратовской области "Культура Саратовской области", критерии отбора муниципальных районов, городских округов и поселений области (далее - муниципальные образования области) для предоставления субсидии и методику ее распределения между муниципальными образованиями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2" w:name="P1921"/>
      <w:bookmarkEnd w:id="12"/>
      <w:r w:rsidRPr="00145A53">
        <w:rPr>
          <w:rFonts w:ascii="PT Astra Serif" w:hAnsi="PT Astra Serif"/>
          <w:sz w:val="28"/>
          <w:szCs w:val="28"/>
        </w:rPr>
        <w:t>2. Целью предоставления субсидии является софинансирование расходных обязательств муниципальных образований области по реализации следующих мероприятий: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восстановление (ремонт, реставрация, благоустройство) воинских захоронений на территории Саратовской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установка мемориальных знаков на воинских захоронениях на территории Саратовской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в) обустройство мест захоронений останков погибших при защите Отечества, обнаруженных в ходе проведения поисковых работ.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3. Критериями отбора муниципального образования области для предоставления субсидии являются: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направление до 1 марта текущего финансового года письменного обращения органа местного самоуправления муниципального образования области об оказании финансовой помощи на мероприятия по обеспечению сохранности воинских захоронений на территории муниципального образования (далее - письмо-обращение) в адрес министерства внутренней региональной и муниципальной политики области с указанием размера потребности в проведении данных расходов;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225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29.04.2026 N 321-П)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наличие на территории муниципального образования области воинских захоронений, указанных в </w:t>
      </w:r>
      <w:hyperlink r:id="rId226">
        <w:r w:rsidRPr="00145A53">
          <w:rPr>
            <w:rFonts w:ascii="PT Astra Serif" w:hAnsi="PT Astra Serif"/>
            <w:sz w:val="28"/>
            <w:szCs w:val="28"/>
          </w:rPr>
          <w:t>статье 3</w:t>
        </w:r>
      </w:hyperlink>
      <w:r w:rsidRPr="00145A53">
        <w:rPr>
          <w:rFonts w:ascii="PT Astra Serif" w:hAnsi="PT Astra Serif"/>
          <w:sz w:val="28"/>
          <w:szCs w:val="28"/>
        </w:rPr>
        <w:t xml:space="preserve"> Закона Российской Федерации "Об увековечивании памяти погибших при защите Отечества", требующих реализации хотя бы одного из мероприятий, указанных в </w:t>
      </w:r>
      <w:hyperlink w:anchor="P1921">
        <w:r w:rsidRPr="00145A53">
          <w:rPr>
            <w:rFonts w:ascii="PT Astra Serif" w:hAnsi="PT Astra Serif"/>
            <w:sz w:val="28"/>
            <w:szCs w:val="28"/>
          </w:rPr>
          <w:t>пункте 2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настоящего Положения;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паспорта воинского захоронения;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отсутствие дублирования мероприятий в других действующих </w:t>
      </w:r>
      <w:r w:rsidRPr="00145A53">
        <w:rPr>
          <w:rFonts w:ascii="PT Astra Serif" w:hAnsi="PT Astra Serif"/>
          <w:sz w:val="28"/>
          <w:szCs w:val="28"/>
        </w:rPr>
        <w:lastRenderedPageBreak/>
        <w:t>государственных, федеральных целевых и иных программах;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отсутствие повторного включения мероприятий, на реализацию которых ранее предоставлялась субсидия из федерального бюджета.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4. Субсидия предоставляется на софинансирование указанных в </w:t>
      </w:r>
      <w:hyperlink w:anchor="P1921">
        <w:r w:rsidRPr="00145A53">
          <w:rPr>
            <w:rFonts w:ascii="PT Astra Serif" w:hAnsi="PT Astra Serif"/>
            <w:sz w:val="28"/>
            <w:szCs w:val="28"/>
          </w:rPr>
          <w:t>пункте 2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настоящего Положения мероприятий, проводимых в отношении воинских захоронений, находящихся в муниципальной собственности, на следующих условиях: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утвержденной муниципальной программы, включающей мероприятия по обеспечению сохранности воинских захоронений;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наличие соглашения между министерством внутренней региональной и муниципальной политики области и органом местного самоуправления муниципального образования области о предоставлении субсидии, заключенного в государственной интегрированной информационной системе управления общественными финансами "Электронный бюджет", по форме, соответствующей требованиям </w:t>
      </w:r>
      <w:hyperlink r:id="rId227">
        <w:r w:rsidRPr="00145A53">
          <w:rPr>
            <w:rFonts w:ascii="PT Astra Serif" w:hAnsi="PT Astra Serif"/>
            <w:sz w:val="28"/>
            <w:szCs w:val="28"/>
          </w:rPr>
          <w:t>подпункта "л(1)" пункта 10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 - Соглашение), и ответственность за неисполнение предусмотренных указанным Соглашением обязательств.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228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29.04.2026 N 321-П)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5. Размер субсидии, предоставляемой бюджету i-го муниципального образования области (S</w:t>
      </w:r>
      <w:r w:rsidRPr="00145A53">
        <w:rPr>
          <w:rFonts w:ascii="PT Astra Serif" w:hAnsi="PT Astra Serif"/>
          <w:sz w:val="28"/>
          <w:szCs w:val="28"/>
          <w:vertAlign w:val="subscript"/>
        </w:rPr>
        <w:t>iобщ</w:t>
      </w:r>
      <w:r w:rsidRPr="00145A53">
        <w:rPr>
          <w:rFonts w:ascii="PT Astra Serif" w:hAnsi="PT Astra Serif"/>
          <w:sz w:val="28"/>
          <w:szCs w:val="28"/>
        </w:rPr>
        <w:t>),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S</w:t>
      </w:r>
      <w:r w:rsidRPr="00145A53">
        <w:rPr>
          <w:rFonts w:ascii="PT Astra Serif" w:hAnsi="PT Astra Serif"/>
          <w:sz w:val="28"/>
          <w:szCs w:val="28"/>
          <w:vertAlign w:val="subscript"/>
        </w:rPr>
        <w:t>iобщ</w:t>
      </w:r>
      <w:r w:rsidRPr="00145A53">
        <w:rPr>
          <w:rFonts w:ascii="PT Astra Serif" w:hAnsi="PT Astra Serif"/>
          <w:sz w:val="28"/>
          <w:szCs w:val="28"/>
        </w:rPr>
        <w:t xml:space="preserve"> = S</w:t>
      </w:r>
      <w:r w:rsidRPr="00145A53">
        <w:rPr>
          <w:rFonts w:ascii="PT Astra Serif" w:hAnsi="PT Astra Serif"/>
          <w:sz w:val="28"/>
          <w:szCs w:val="28"/>
          <w:vertAlign w:val="subscript"/>
        </w:rPr>
        <w:t>iвосст</w:t>
      </w:r>
      <w:r w:rsidRPr="00145A53">
        <w:rPr>
          <w:rFonts w:ascii="PT Astra Serif" w:hAnsi="PT Astra Serif"/>
          <w:sz w:val="28"/>
          <w:szCs w:val="28"/>
        </w:rPr>
        <w:t xml:space="preserve"> + S</w:t>
      </w:r>
      <w:r w:rsidRPr="00145A53">
        <w:rPr>
          <w:rFonts w:ascii="PT Astra Serif" w:hAnsi="PT Astra Serif"/>
          <w:sz w:val="28"/>
          <w:szCs w:val="28"/>
          <w:vertAlign w:val="subscript"/>
        </w:rPr>
        <w:t>iмемор</w:t>
      </w:r>
      <w:r w:rsidRPr="00145A53">
        <w:rPr>
          <w:rFonts w:ascii="PT Astra Serif" w:hAnsi="PT Astra Serif"/>
          <w:sz w:val="28"/>
          <w:szCs w:val="28"/>
        </w:rPr>
        <w:t xml:space="preserve"> + S</w:t>
      </w:r>
      <w:r w:rsidRPr="00145A53">
        <w:rPr>
          <w:rFonts w:ascii="PT Astra Serif" w:hAnsi="PT Astra Serif"/>
          <w:sz w:val="28"/>
          <w:szCs w:val="28"/>
          <w:vertAlign w:val="subscript"/>
        </w:rPr>
        <w:t>iобустр</w:t>
      </w:r>
      <w:r w:rsidRPr="00145A53">
        <w:rPr>
          <w:rFonts w:ascii="PT Astra Serif" w:hAnsi="PT Astra Serif"/>
          <w:sz w:val="28"/>
          <w:szCs w:val="28"/>
        </w:rPr>
        <w:t>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S</w:t>
      </w:r>
      <w:r w:rsidRPr="00145A53">
        <w:rPr>
          <w:rFonts w:ascii="PT Astra Serif" w:hAnsi="PT Astra Serif"/>
          <w:sz w:val="28"/>
          <w:szCs w:val="28"/>
          <w:vertAlign w:val="subscript"/>
        </w:rPr>
        <w:t>iвосст</w:t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рассчитанный бюджету i-го муниципального образования области на восстановление (ремонт, реставрация, благоустройство) воинских захоронений)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S</w:t>
      </w:r>
      <w:r w:rsidRPr="00145A53">
        <w:rPr>
          <w:rFonts w:ascii="PT Astra Serif" w:hAnsi="PT Astra Serif"/>
          <w:sz w:val="28"/>
          <w:szCs w:val="28"/>
          <w:vertAlign w:val="subscript"/>
        </w:rPr>
        <w:t>iвосст</w:t>
      </w:r>
      <w:r w:rsidRPr="00145A53">
        <w:rPr>
          <w:rFonts w:ascii="PT Astra Serif" w:hAnsi="PT Astra Serif"/>
          <w:sz w:val="28"/>
          <w:szCs w:val="28"/>
        </w:rPr>
        <w:t xml:space="preserve"> = V</w:t>
      </w:r>
      <w:r w:rsidRPr="00145A53">
        <w:rPr>
          <w:rFonts w:ascii="PT Astra Serif" w:hAnsi="PT Astra Serif"/>
          <w:sz w:val="28"/>
          <w:szCs w:val="28"/>
          <w:vertAlign w:val="subscript"/>
        </w:rPr>
        <w:t>восст</w:t>
      </w:r>
      <w:r w:rsidRPr="00145A53">
        <w:rPr>
          <w:rFonts w:ascii="PT Astra Serif" w:hAnsi="PT Astra Serif"/>
          <w:sz w:val="28"/>
          <w:szCs w:val="28"/>
        </w:rPr>
        <w:t xml:space="preserve"> (P</w:t>
      </w:r>
      <w:r w:rsidRPr="00145A53">
        <w:rPr>
          <w:rFonts w:ascii="PT Astra Serif" w:hAnsi="PT Astra Serif"/>
          <w:sz w:val="28"/>
          <w:szCs w:val="28"/>
          <w:vertAlign w:val="subscript"/>
        </w:rPr>
        <w:t>iвосст</w:t>
      </w:r>
      <w:r w:rsidRPr="00145A53">
        <w:rPr>
          <w:rFonts w:ascii="PT Astra Serif" w:hAnsi="PT Astra Serif"/>
          <w:sz w:val="28"/>
          <w:szCs w:val="28"/>
        </w:rPr>
        <w:t xml:space="preserve"> / P</w:t>
      </w:r>
      <w:r w:rsidRPr="00145A53">
        <w:rPr>
          <w:rFonts w:ascii="PT Astra Serif" w:hAnsi="PT Astra Serif"/>
          <w:sz w:val="28"/>
          <w:szCs w:val="28"/>
          <w:vertAlign w:val="subscript"/>
        </w:rPr>
        <w:t>восст</w:t>
      </w:r>
      <w:r w:rsidRPr="00145A53">
        <w:rPr>
          <w:rFonts w:ascii="PT Astra Serif" w:hAnsi="PT Astra Serif"/>
          <w:sz w:val="28"/>
          <w:szCs w:val="28"/>
        </w:rPr>
        <w:t>),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восст</w:t>
      </w:r>
      <w:r w:rsidRPr="00145A53">
        <w:rPr>
          <w:rFonts w:ascii="PT Astra Serif" w:hAnsi="PT Astra Serif"/>
          <w:sz w:val="28"/>
          <w:szCs w:val="28"/>
        </w:rPr>
        <w:t xml:space="preserve"> - объем средств, предусмотренный в областном бюджете на текущий год на предоставление субсидии на софинансирование мероприятий по восстановлению (ремонту, реставрации, благоустройству) воинских захоронений;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iвосст</w:t>
      </w:r>
      <w:r w:rsidRPr="00145A53">
        <w:rPr>
          <w:rFonts w:ascii="PT Astra Serif" w:hAnsi="PT Astra Serif"/>
          <w:sz w:val="28"/>
          <w:szCs w:val="28"/>
        </w:rPr>
        <w:t xml:space="preserve"> - потребность i-го муниципального образования области в средствах областного бюджета на проведение мероприятий по восстановлению (ремонту, реставрации, благоустройству) воинских захоронений, указанная в письме-обращении органа местного </w:t>
      </w:r>
      <w:r w:rsidRPr="00145A53">
        <w:rPr>
          <w:rFonts w:ascii="PT Astra Serif" w:hAnsi="PT Astra Serif"/>
          <w:sz w:val="28"/>
          <w:szCs w:val="28"/>
        </w:rPr>
        <w:lastRenderedPageBreak/>
        <w:t>самоуправления муниципального образования области, определяемая на основании не менее трех коммерческих предложений поставщиков работ и (или) услуг (в части мероприятий по восстановлению (ремонту, реставрации, благоустройству) воинских захоронений), а также расчетом стоимости потребности на реализацию мероприятий по восстановлению (ремонту, реставрации, благоустройству) воинских захоронений;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восст</w:t>
      </w:r>
      <w:r w:rsidRPr="00145A53">
        <w:rPr>
          <w:rFonts w:ascii="PT Astra Serif" w:hAnsi="PT Astra Serif"/>
          <w:sz w:val="28"/>
          <w:szCs w:val="28"/>
        </w:rPr>
        <w:t xml:space="preserve"> - потребность в целом всех муниципальных образований области в средствах на проведение мероприятий по восстановлению (ремонту, реставрации, благоустройству) воинских захоронений;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S</w:t>
      </w:r>
      <w:r w:rsidRPr="00145A53">
        <w:rPr>
          <w:rFonts w:ascii="PT Astra Serif" w:hAnsi="PT Astra Serif"/>
          <w:sz w:val="28"/>
          <w:szCs w:val="28"/>
          <w:vertAlign w:val="subscript"/>
        </w:rPr>
        <w:t>iмемор</w:t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рассчитанный бюджету i-го муниципального образования области на установку мемориальных знаков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S</w:t>
      </w:r>
      <w:r w:rsidRPr="00145A53">
        <w:rPr>
          <w:rFonts w:ascii="PT Astra Serif" w:hAnsi="PT Astra Serif"/>
          <w:sz w:val="28"/>
          <w:szCs w:val="28"/>
          <w:vertAlign w:val="subscript"/>
        </w:rPr>
        <w:t>iмемор</w:t>
      </w:r>
      <w:r w:rsidRPr="00145A53">
        <w:rPr>
          <w:rFonts w:ascii="PT Astra Serif" w:hAnsi="PT Astra Serif"/>
          <w:sz w:val="28"/>
          <w:szCs w:val="28"/>
        </w:rPr>
        <w:t xml:space="preserve"> = V</w:t>
      </w:r>
      <w:r w:rsidRPr="00145A53">
        <w:rPr>
          <w:rFonts w:ascii="PT Astra Serif" w:hAnsi="PT Astra Serif"/>
          <w:sz w:val="28"/>
          <w:szCs w:val="28"/>
          <w:vertAlign w:val="subscript"/>
        </w:rPr>
        <w:t>мемор</w:t>
      </w:r>
      <w:r w:rsidRPr="00145A53">
        <w:rPr>
          <w:rFonts w:ascii="PT Astra Serif" w:hAnsi="PT Astra Serif"/>
          <w:sz w:val="28"/>
          <w:szCs w:val="28"/>
        </w:rPr>
        <w:t xml:space="preserve"> (P</w:t>
      </w:r>
      <w:r w:rsidRPr="00145A53">
        <w:rPr>
          <w:rFonts w:ascii="PT Astra Serif" w:hAnsi="PT Astra Serif"/>
          <w:sz w:val="28"/>
          <w:szCs w:val="28"/>
          <w:vertAlign w:val="subscript"/>
        </w:rPr>
        <w:t>iмемор</w:t>
      </w:r>
      <w:r w:rsidRPr="00145A53">
        <w:rPr>
          <w:rFonts w:ascii="PT Astra Serif" w:hAnsi="PT Astra Serif"/>
          <w:sz w:val="28"/>
          <w:szCs w:val="28"/>
        </w:rPr>
        <w:t xml:space="preserve"> / P</w:t>
      </w:r>
      <w:r w:rsidRPr="00145A53">
        <w:rPr>
          <w:rFonts w:ascii="PT Astra Serif" w:hAnsi="PT Astra Serif"/>
          <w:sz w:val="28"/>
          <w:szCs w:val="28"/>
          <w:vertAlign w:val="subscript"/>
        </w:rPr>
        <w:t>мемор</w:t>
      </w:r>
      <w:r w:rsidRPr="00145A53">
        <w:rPr>
          <w:rFonts w:ascii="PT Astra Serif" w:hAnsi="PT Astra Serif"/>
          <w:sz w:val="28"/>
          <w:szCs w:val="28"/>
        </w:rPr>
        <w:t>),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мемор</w:t>
      </w:r>
      <w:r w:rsidRPr="00145A53">
        <w:rPr>
          <w:rFonts w:ascii="PT Astra Serif" w:hAnsi="PT Astra Serif"/>
          <w:sz w:val="28"/>
          <w:szCs w:val="28"/>
        </w:rPr>
        <w:t xml:space="preserve"> - объем средств, предусмотренный в областном бюджете на текущий год на предоставление субсидии на софинансирование мероприятий по установке мемориальных знаков;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iмемор</w:t>
      </w:r>
      <w:r w:rsidRPr="00145A53">
        <w:rPr>
          <w:rFonts w:ascii="PT Astra Serif" w:hAnsi="PT Astra Serif"/>
          <w:sz w:val="28"/>
          <w:szCs w:val="28"/>
        </w:rPr>
        <w:t xml:space="preserve"> - потребность i-го муниципального образования области в средствах областного бюджета на проведение мероприятий по установке мемориальных знаков, указанная в письме-обращении, определяемая на основании не менее трех коммерческих предложений поставщиков работ и (или) услуг (в части мероприятий по установке мемориальных знаков), а также расчетом стоимости потребности на реализацию мероприятий по установке мемориальных знаков;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мемор</w:t>
      </w:r>
      <w:r w:rsidRPr="00145A53">
        <w:rPr>
          <w:rFonts w:ascii="PT Astra Serif" w:hAnsi="PT Astra Serif"/>
          <w:sz w:val="28"/>
          <w:szCs w:val="28"/>
        </w:rPr>
        <w:t xml:space="preserve"> - потребность в целом всех муниципальных образований области в средствах на проведение мероприятий по установка мемориальных знаков;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S</w:t>
      </w:r>
      <w:r w:rsidRPr="00145A53">
        <w:rPr>
          <w:rFonts w:ascii="PT Astra Serif" w:hAnsi="PT Astra Serif"/>
          <w:sz w:val="28"/>
          <w:szCs w:val="28"/>
          <w:vertAlign w:val="subscript"/>
        </w:rPr>
        <w:t>iобустр</w:t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рассчитанный бюджету i-го муниципального образования области на обустройство мест захоронений останков погибших при защите Отечества, обнаруженных в ходе проведения поисковых работ: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S</w:t>
      </w:r>
      <w:r w:rsidRPr="00145A53">
        <w:rPr>
          <w:rFonts w:ascii="PT Astra Serif" w:hAnsi="PT Astra Serif"/>
          <w:sz w:val="28"/>
          <w:szCs w:val="28"/>
          <w:vertAlign w:val="subscript"/>
        </w:rPr>
        <w:t>iобустр</w:t>
      </w:r>
      <w:r w:rsidRPr="00145A53">
        <w:rPr>
          <w:rFonts w:ascii="PT Astra Serif" w:hAnsi="PT Astra Serif"/>
          <w:sz w:val="28"/>
          <w:szCs w:val="28"/>
        </w:rPr>
        <w:t xml:space="preserve"> = V</w:t>
      </w:r>
      <w:r w:rsidRPr="00145A53">
        <w:rPr>
          <w:rFonts w:ascii="PT Astra Serif" w:hAnsi="PT Astra Serif"/>
          <w:sz w:val="28"/>
          <w:szCs w:val="28"/>
          <w:vertAlign w:val="subscript"/>
        </w:rPr>
        <w:t>обустр</w:t>
      </w:r>
      <w:r w:rsidRPr="00145A53">
        <w:rPr>
          <w:rFonts w:ascii="PT Astra Serif" w:hAnsi="PT Astra Serif"/>
          <w:sz w:val="28"/>
          <w:szCs w:val="28"/>
        </w:rPr>
        <w:t xml:space="preserve"> (P</w:t>
      </w:r>
      <w:r w:rsidRPr="00145A53">
        <w:rPr>
          <w:rFonts w:ascii="PT Astra Serif" w:hAnsi="PT Astra Serif"/>
          <w:sz w:val="28"/>
          <w:szCs w:val="28"/>
          <w:vertAlign w:val="subscript"/>
        </w:rPr>
        <w:t>iобустр</w:t>
      </w:r>
      <w:r w:rsidRPr="00145A53">
        <w:rPr>
          <w:rFonts w:ascii="PT Astra Serif" w:hAnsi="PT Astra Serif"/>
          <w:sz w:val="28"/>
          <w:szCs w:val="28"/>
        </w:rPr>
        <w:t xml:space="preserve"> / P</w:t>
      </w:r>
      <w:r w:rsidRPr="00145A53">
        <w:rPr>
          <w:rFonts w:ascii="PT Astra Serif" w:hAnsi="PT Astra Serif"/>
          <w:sz w:val="28"/>
          <w:szCs w:val="28"/>
          <w:vertAlign w:val="subscript"/>
        </w:rPr>
        <w:t>обустр</w:t>
      </w:r>
      <w:r w:rsidRPr="00145A53">
        <w:rPr>
          <w:rFonts w:ascii="PT Astra Serif" w:hAnsi="PT Astra Serif"/>
          <w:sz w:val="28"/>
          <w:szCs w:val="28"/>
        </w:rPr>
        <w:t>),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обустр</w:t>
      </w:r>
      <w:r w:rsidRPr="00145A53">
        <w:rPr>
          <w:rFonts w:ascii="PT Astra Serif" w:hAnsi="PT Astra Serif"/>
          <w:sz w:val="28"/>
          <w:szCs w:val="28"/>
        </w:rPr>
        <w:t xml:space="preserve"> - объем средств, предусмотренный в областном бюджете на текущий год на предоставление субсидии на софинансирование мероприятий по обустройству мест захоронений останков погибших при защите Отечества, обнаруженных в ходе проведения поисковых работ;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iобустр</w:t>
      </w:r>
      <w:r w:rsidRPr="00145A53">
        <w:rPr>
          <w:rFonts w:ascii="PT Astra Serif" w:hAnsi="PT Astra Serif"/>
          <w:sz w:val="28"/>
          <w:szCs w:val="28"/>
        </w:rPr>
        <w:t xml:space="preserve"> - потребность i-го муниципального образования области в средствах областного бюджета на проведение мероприятий по обустройству мест захоронений останков погибших при защите Отечества, обнаруженных в ходе проведения поисковых работ, указанная в письме-обращении, определяемая на основании не менее трех коммерческих предложений </w:t>
      </w:r>
      <w:r w:rsidRPr="00145A53">
        <w:rPr>
          <w:rFonts w:ascii="PT Astra Serif" w:hAnsi="PT Astra Serif"/>
          <w:sz w:val="28"/>
          <w:szCs w:val="28"/>
        </w:rPr>
        <w:lastRenderedPageBreak/>
        <w:t>поставщиков работ и (или) услуг (в части мероприятий по обустройству мест захоронений останков погибших при защите Отечества, обнаруженных в ходе проведения поисковых работ), а также расчетом стоимости потребности на реализацию мероприятий по обустройству мест захоронений останков погибших при защите Отечества, обнаруженных в ходе проведения поисковых работ;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обустр</w:t>
      </w:r>
      <w:r w:rsidRPr="00145A53">
        <w:rPr>
          <w:rFonts w:ascii="PT Astra Serif" w:hAnsi="PT Astra Serif"/>
          <w:sz w:val="28"/>
          <w:szCs w:val="28"/>
        </w:rPr>
        <w:t xml:space="preserve"> - потребность в целом всех муниципальных образований области в средствах на проведение мероприятий по обустройству мест захоронений останков погибших при защите Отечества, обнаруженных в ходе проведения поисковых работ.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6. Результатами использования субсидии являются количество восстановленных воинских захоронений, количество установленных мемориальных знаков, количество обустроенных мест захоронений останков погибших при защите Отечества, обнаруженных в ходе проведения поисковых работ.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Значения и сроки достижения результатов установлены Соглашениями.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7. Субсидия предоставляется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внутренней региональной и муниципальной политики области на цели, указанные в </w:t>
      </w:r>
      <w:hyperlink w:anchor="P1921">
        <w:r w:rsidRPr="00145A53">
          <w:rPr>
            <w:rFonts w:ascii="PT Astra Serif" w:hAnsi="PT Astra Serif"/>
            <w:sz w:val="28"/>
            <w:szCs w:val="28"/>
          </w:rPr>
          <w:t>пункте 2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настоящего Положения.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229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29.04.2026 N 321-П)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8. Перечисление субсидии в бюджеты муниципальных образований области осуществляется министерством внутренней региональной и муниципальной политики области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230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29.04.2026 N 321-П)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случае принятия министерством внутренней региональной и муниципальной политики области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порядке, установленном Федеральным казначейством.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231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29.04.2026 N 321-П)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9. Субсидия предоставляется на основании Соглашения в течение 30 рабочих дней со дня открытия на соответствующем лицевом счете в УФК </w:t>
      </w:r>
      <w:r w:rsidRPr="00145A53">
        <w:rPr>
          <w:rFonts w:ascii="PT Astra Serif" w:hAnsi="PT Astra Serif"/>
          <w:sz w:val="28"/>
          <w:szCs w:val="28"/>
        </w:rPr>
        <w:lastRenderedPageBreak/>
        <w:t>предельных объемов денежных обязательств, источником финансового обеспечения которых является соответствующая субсидия из федерального бюджета, но не позднее 26 декабря текущего года.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10. Субсидия носит целевой характер и не подлежит направлению на иные цели.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11. Предельный уровень софинансирования из областного бюджета расходных обязательств муниципальных образований области устанавливается в соответствии с </w:t>
      </w:r>
      <w:hyperlink r:id="rId232">
        <w:r w:rsidRPr="00145A53">
          <w:rPr>
            <w:rFonts w:ascii="PT Astra Serif" w:hAnsi="PT Astra Serif"/>
            <w:sz w:val="28"/>
            <w:szCs w:val="28"/>
          </w:rPr>
          <w:t>пунктом 3</w:t>
        </w:r>
      </w:hyperlink>
      <w:r w:rsidRPr="00145A53">
        <w:rPr>
          <w:rFonts w:ascii="PT Astra Serif" w:hAnsi="PT Astra Serif"/>
          <w:sz w:val="28"/>
          <w:szCs w:val="28"/>
        </w:rPr>
        <w:t xml:space="preserve"> Положения о порядке определения и установления предельного уровня софинансирования Саратовской областью (в процентах) объема расходного обязательства муниципального образования Саратовской области, утвержденного постановлением Правительства Саратовской области от 22 ноября 2019 года N 820-П.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12. В срок до 15 января года, следующего за отчетным периодом, органы местного самоуправления муниципальных образований области представляют в министерство внутренней региональной и муниципальной политики области </w:t>
      </w:r>
      <w:hyperlink w:anchor="P1992">
        <w:r w:rsidRPr="00145A53">
          <w:rPr>
            <w:rFonts w:ascii="PT Astra Serif" w:hAnsi="PT Astra Serif"/>
            <w:sz w:val="28"/>
            <w:szCs w:val="28"/>
          </w:rPr>
          <w:t>отчет</w:t>
        </w:r>
      </w:hyperlink>
      <w:r w:rsidRPr="00145A53">
        <w:rPr>
          <w:rFonts w:ascii="PT Astra Serif" w:hAnsi="PT Astra Serif"/>
          <w:sz w:val="28"/>
          <w:szCs w:val="28"/>
        </w:rPr>
        <w:t xml:space="preserve"> об использовании субсидии, предоставленной из областного бюджета на реализацию мероприятий по обеспечению сохранности воинских захоронений на территории Саратовской области, по форме согласно приложению N 1 к настоящему Положению.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233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29.04.2026 N 321-П)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13. В срок до 17 января года, следующего за отчетным периодом, министерство внутренней региональной и муниципальной политики области представляет в министерство финансов области сводный </w:t>
      </w:r>
      <w:hyperlink w:anchor="P2072">
        <w:r w:rsidRPr="00145A53">
          <w:rPr>
            <w:rFonts w:ascii="PT Astra Serif" w:hAnsi="PT Astra Serif"/>
            <w:sz w:val="28"/>
            <w:szCs w:val="28"/>
          </w:rPr>
          <w:t>отчет</w:t>
        </w:r>
      </w:hyperlink>
      <w:r w:rsidRPr="00145A53">
        <w:rPr>
          <w:rFonts w:ascii="PT Astra Serif" w:hAnsi="PT Astra Serif"/>
          <w:sz w:val="28"/>
          <w:szCs w:val="28"/>
        </w:rPr>
        <w:t xml:space="preserve"> об использовании субсидии, предоставленной из областного бюджета на реализацию мероприятий по обеспечению сохранности воинских захоронений на территории Саратовской области, по форме согласно приложению N 2 к настоящему Положению.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(в ред. </w:t>
      </w:r>
      <w:hyperlink r:id="rId234">
        <w:r w:rsidRPr="00145A5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Правительства Саратовской области от 29.04.2026 N 321-П)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14.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15. Не использованные по состоянию на 1 января года, следующего за отчетным, остатки субсидии, находящиеся на единых счетах местных бюджетов, подлежат возврату в доход областного бюджета в течение первых 15 рабочих дней финансового года, следующего за отчетным.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В случае если неиспользованный остаток субсидии не перечислен в доход областного бюджета, указанные средства подлежат взысканию в доход </w:t>
      </w:r>
      <w:r w:rsidRPr="00145A53">
        <w:rPr>
          <w:rFonts w:ascii="PT Astra Serif" w:hAnsi="PT Astra Serif"/>
          <w:sz w:val="28"/>
          <w:szCs w:val="28"/>
        </w:rPr>
        <w:lastRenderedPageBreak/>
        <w:t>областного бюджета в установленном законодательством порядке.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1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Положению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 методике распределения и порядке предоставления субсидии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бюджетам муниципальных районов, городских округов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поселений области на реализацию мероприятий по обеспечению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сохранности воинских захоронений на территории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Российской Федерации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bookmarkStart w:id="13" w:name="P1992"/>
      <w:bookmarkEnd w:id="13"/>
      <w:r w:rsidRPr="00145A53">
        <w:rPr>
          <w:rFonts w:ascii="PT Astra Serif" w:hAnsi="PT Astra Serif"/>
          <w:sz w:val="28"/>
          <w:szCs w:val="28"/>
        </w:rPr>
        <w:t>Отчет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 использовании субсидии, предоставленной из областного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бюджета, на реализацию мероприятий по обеспечению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сохранности воинских захоронений на территории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Российской Федерации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____________________________________________________________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(наименование муниципального района, городского округа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(поселения) области)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 ___________ 20__ года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(рублей)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5"/>
        <w:gridCol w:w="986"/>
        <w:gridCol w:w="821"/>
        <w:gridCol w:w="1474"/>
        <w:gridCol w:w="1102"/>
        <w:gridCol w:w="1077"/>
        <w:gridCol w:w="1100"/>
      </w:tblGrid>
      <w:tr w:rsidR="00145A53" w:rsidRPr="00145A53">
        <w:tc>
          <w:tcPr>
            <w:tcW w:w="2495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07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Предусмотрено в сводной бюджетной росписи муниципального района, городского округа, поселения области на 20__ год за счет средств</w:t>
            </w:r>
          </w:p>
        </w:tc>
        <w:tc>
          <w:tcPr>
            <w:tcW w:w="1474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Предельные объемы оплаты денежных обязательств, отражаемые в УФК на дату представления отчета (нарастающим итогом с начала года)</w:t>
            </w:r>
          </w:p>
        </w:tc>
        <w:tc>
          <w:tcPr>
            <w:tcW w:w="1102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Кассовый расход (нарастающим итогом с начала года)</w:t>
            </w:r>
          </w:p>
        </w:tc>
        <w:tc>
          <w:tcPr>
            <w:tcW w:w="1077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Остаток предельных объемов финансирования</w:t>
            </w:r>
          </w:p>
        </w:tc>
        <w:tc>
          <w:tcPr>
            <w:tcW w:w="1100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Остаток средств на счете местного бюджета на конец отчетного периода</w:t>
            </w:r>
          </w:p>
        </w:tc>
      </w:tr>
      <w:tr w:rsidR="00145A53" w:rsidRPr="00145A53">
        <w:tc>
          <w:tcPr>
            <w:tcW w:w="2495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8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федерального бюджета</w:t>
            </w:r>
          </w:p>
        </w:tc>
        <w:tc>
          <w:tcPr>
            <w:tcW w:w="821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областного бюджета</w:t>
            </w:r>
          </w:p>
        </w:tc>
        <w:tc>
          <w:tcPr>
            <w:tcW w:w="1474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2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0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495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986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821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474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102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077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100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145A53" w:rsidRPr="00145A53">
        <w:tc>
          <w:tcPr>
            <w:tcW w:w="2495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Обустройство мест захоронения останков погибших при защите Отечества, обнаруженных в ходе проведения поисковых работ</w:t>
            </w:r>
          </w:p>
        </w:tc>
        <w:tc>
          <w:tcPr>
            <w:tcW w:w="98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21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0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495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Восстановление (ремонт, реставрация, благоустройство) воинских захоронений на территории муниципального образования области</w:t>
            </w:r>
          </w:p>
        </w:tc>
        <w:tc>
          <w:tcPr>
            <w:tcW w:w="98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21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0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495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Установка мемориальных знаков</w:t>
            </w:r>
          </w:p>
        </w:tc>
        <w:tc>
          <w:tcPr>
            <w:tcW w:w="98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21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0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2495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Нанесение имен (воинских званий, фамилий и инициалов) погибших при защите Отечества на мемориальные сооружения воинских захоронений по месту захоронения</w:t>
            </w:r>
          </w:p>
        </w:tc>
        <w:tc>
          <w:tcPr>
            <w:tcW w:w="986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21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0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Глава муниципального района,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городского округа (поселения) области _________ _________________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         (подпись)      (Ф.И.О.)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Руководитель финансового органа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муниципального района,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городского округа (поселения) области _________ _________________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         (подпись)      (Ф.И.О.)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Исполнитель                           _________ _________________ _________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         (подпись)      (Ф.И.О.)     (телефон)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2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Положению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 методике распределения и порядке предоставления субсидии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бюджетам муниципальных районов, городских округов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поселений области на реализацию мероприятий по обеспечению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сохранности воинских захоронений на территории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Российской Федерации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35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 29.04.2026 N 321-П)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bookmarkStart w:id="14" w:name="P2072"/>
      <w:bookmarkEnd w:id="14"/>
      <w:r w:rsidRPr="00145A53">
        <w:rPr>
          <w:rFonts w:ascii="PT Astra Serif" w:hAnsi="PT Astra Serif"/>
          <w:sz w:val="28"/>
          <w:szCs w:val="28"/>
        </w:rPr>
        <w:t>Сводный отчет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министерства внутренней региональной и муниципальной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политики области об использовании субсидии, предоставленной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из областного бюджета на реализацию мероприятий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 обеспечению сохранности воинских захоронений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 территории Саратовской области</w:t>
      </w: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 "__" ___________ 20__ года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(рублей)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942"/>
        <w:gridCol w:w="680"/>
        <w:gridCol w:w="1020"/>
        <w:gridCol w:w="1020"/>
        <w:gridCol w:w="1531"/>
        <w:gridCol w:w="850"/>
        <w:gridCol w:w="850"/>
        <w:gridCol w:w="1020"/>
      </w:tblGrid>
      <w:tr w:rsidR="00145A53" w:rsidRPr="00145A53">
        <w:tc>
          <w:tcPr>
            <w:tcW w:w="1135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Наименование муниципального района, городского округа, поселения области</w:t>
            </w:r>
          </w:p>
        </w:tc>
        <w:tc>
          <w:tcPr>
            <w:tcW w:w="942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Наименование мероприятия, проводимого за счет субсидии</w:t>
            </w:r>
          </w:p>
        </w:tc>
        <w:tc>
          <w:tcPr>
            <w:tcW w:w="2720" w:type="dxa"/>
            <w:gridSpan w:val="3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Предусмотрено в сводной бюджетной росписи муниципального района, городского округа, поселения области на 20__ год</w:t>
            </w:r>
          </w:p>
        </w:tc>
        <w:tc>
          <w:tcPr>
            <w:tcW w:w="1531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Предельные объемы оплаты денежных обязательств, отраженные в УФК на дату представления отчета (нарастающим итогом с начала года)</w:t>
            </w:r>
          </w:p>
        </w:tc>
        <w:tc>
          <w:tcPr>
            <w:tcW w:w="1700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Кассовые расходы (нарастающим итогом с начала года), в том числе за счет средств</w:t>
            </w:r>
          </w:p>
        </w:tc>
        <w:tc>
          <w:tcPr>
            <w:tcW w:w="1020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Не использовано объемов финансирования</w:t>
            </w:r>
          </w:p>
        </w:tc>
      </w:tr>
      <w:tr w:rsidR="00145A53" w:rsidRPr="00145A53">
        <w:tc>
          <w:tcPr>
            <w:tcW w:w="1135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42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всего</w:t>
            </w:r>
          </w:p>
        </w:tc>
        <w:tc>
          <w:tcPr>
            <w:tcW w:w="2040" w:type="dxa"/>
            <w:gridSpan w:val="2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в том числе за счет средств</w:t>
            </w:r>
          </w:p>
        </w:tc>
        <w:tc>
          <w:tcPr>
            <w:tcW w:w="1531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областного бюджета</w:t>
            </w:r>
          </w:p>
        </w:tc>
        <w:tc>
          <w:tcPr>
            <w:tcW w:w="850" w:type="dxa"/>
            <w:vMerge w:val="restart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федерального бюджета</w:t>
            </w:r>
          </w:p>
        </w:tc>
        <w:tc>
          <w:tcPr>
            <w:tcW w:w="1020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1135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42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областного бюджета</w:t>
            </w:r>
          </w:p>
        </w:tc>
        <w:tc>
          <w:tcPr>
            <w:tcW w:w="1020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федерального бюджета</w:t>
            </w:r>
          </w:p>
        </w:tc>
        <w:tc>
          <w:tcPr>
            <w:tcW w:w="1531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5A53" w:rsidRPr="00145A53">
        <w:tc>
          <w:tcPr>
            <w:tcW w:w="1135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942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680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020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020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531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020" w:type="dxa"/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145A53" w:rsidRPr="00145A53">
        <w:tc>
          <w:tcPr>
            <w:tcW w:w="1135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42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Министр внутренней региональной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муниципальной политики области  _____________ ___________________________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       (подпись)           (Ф.И.О.)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Исполнитель                       _____________ ___________________________</w:t>
      </w:r>
    </w:p>
    <w:p w:rsidR="00145A53" w:rsidRPr="00145A53" w:rsidRDefault="00145A5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                                    (подпись)           (Ф.И.О.)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18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ПОРЯДОК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СУБСИДИИ БЮДЖЕТАМ МУНИЦИПАЛЬНЫХ РАЙОНОВ, ГОРОДСКИХ ОКРУГОВ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ПОСЕЛЕНИЙ ОБЛАСТИ НА ПОДДЕРЖКУ ТВОРЧЕСКОЙ ДЕЯТЕЛЬНОСТИ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(ИЛИ) УКРЕПЛЕНИЕ МАТЕРИАЛЬНО-ТЕХНИЧЕСКОЙ БАЗЫ ДЕТСКИХ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КУКОЛЬНЫХ ТЕАТРОВ, А ТАКЖЕ ТЕАТРОВ, РАСПОЛОЖЕННЫХ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НАСЕЛЕННЫХ ПУНКТАХ С ЧИСЛЕННОСТЬЮ НАСЕЛЕНИЯ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ДО 300 ТЫСЯЧ ЧЕЛОВЕК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(введен </w:t>
            </w:r>
            <w:hyperlink r:id="rId236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 11.02.2026 N 79-П)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1. Настоящий Порядок устанавливает цели, условия и порядок предоставления и распределения субсидий из областного бюджета бюджетам муниципальных районов, городских округов и поселений области (далее - муниципальные образования области), направленных на поддержку творческой деятельности и (или) укрепление материально-технической базы детских и кукольных театров, а также театров, расположенных в населенных </w:t>
      </w:r>
      <w:r w:rsidRPr="00145A53">
        <w:rPr>
          <w:rFonts w:ascii="PT Astra Serif" w:hAnsi="PT Astra Serif"/>
          <w:sz w:val="28"/>
          <w:szCs w:val="28"/>
        </w:rPr>
        <w:lastRenderedPageBreak/>
        <w:t>пунктах с численностью населения до 300 тысяч человек, в рамках реализации мероприятий регионального проекта "Развитие искусства и творчества" государственной программы Саратовской области "Культура Саратовской области" (далее - субсидии).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2. В настоящем Порядке: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под театрами, расположенными в населенных пунктах с численностью населения до 300 тыс. человек, понимаются профессиональные репертуарные театры с постоянной труппой, имеющие в текущем репертуаре спектакли, являющиеся казенными, бюджетными или автономными учреждениями (либо структурными подразделениями учреждений) муниципальных образований области и находящиеся в населенных пунктах с численностью населения до 300 тыс. человек;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под детскими и кукольными театрами понимаются профессиональные репертуарные театры (театры для детей и юношества, театры юного зрителя, молодежные, детские театры, театры для детей и молодежи, театры кукол, театры актера и куклы, театры марионеток, театры теней) с постоянной труппой, имеющие в текущем репертуаре спектакли и ориентированные на работу с детской, подростковой и юношеской аудиторией, являющиеся казенными, бюджетными или автономными учреждениями (либо структурными подразделениями учреждений) муниципальных образований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5" w:name="P2143"/>
      <w:bookmarkEnd w:id="15"/>
      <w:r w:rsidRPr="00145A53">
        <w:rPr>
          <w:rFonts w:ascii="PT Astra Serif" w:hAnsi="PT Astra Serif"/>
          <w:sz w:val="28"/>
          <w:szCs w:val="28"/>
        </w:rPr>
        <w:t>3. Субсидии предоставляются в целях софинансирования расходных обязательств, связанных с реализацией следующих мероприятий: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поддержка творческой деятельности и (или) укрепление материально-технической базы театров, расположенных в населенных пунктах с численностью населения до 300 тыс. человек;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поддержка творческой деятельности и (или) укрепление материально-технической базы детских и кукольных театров.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4. Субсидии муниципальным образованиям области предоставляются в пределах лимитов бюджетных обязательств, доведенных в установленном порядке до министерства культуры области (далее - Министерство) как получателя средств областного бюджета на цели, предусмотренные </w:t>
      </w:r>
      <w:hyperlink w:anchor="P2143">
        <w:r w:rsidRPr="00145A53">
          <w:rPr>
            <w:rFonts w:ascii="PT Astra Serif" w:hAnsi="PT Astra Serif"/>
            <w:sz w:val="28"/>
            <w:szCs w:val="28"/>
          </w:rPr>
          <w:t>пунктом 3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настоящего Порядка, по следующим направлениям: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создание новых постановок и показ спектаклей (далее - творческие проекты). При этом предусматриваются: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оплата труда сотрудников театра, а также специалистов, привлекаемых к осуществлению творческих проектов;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оплата авторского вознаграждения и гонораров творческим работникам, </w:t>
      </w:r>
      <w:r w:rsidRPr="00145A53">
        <w:rPr>
          <w:rFonts w:ascii="PT Astra Serif" w:hAnsi="PT Astra Serif"/>
          <w:sz w:val="28"/>
          <w:szCs w:val="28"/>
        </w:rPr>
        <w:lastRenderedPageBreak/>
        <w:t>привлекаемым к осуществлению творческих проектов;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оплата договоров на право показа и исполнения произведений, а также на передачу прав использования аудиовизуальной продукции;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условий по приему и направлению участников творческих проектов до места проведения творческих проектов и обратно (наем жилого помещения, проезд, питание, выездные документы);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творческих проектов декорациями, сценическими, экспозиционными и другими конструкциями, включая их приобретение, закупку материалов, необходимых для изготовления, аренду, изготовление, монтаж, демонтаж, доставку и обслуживание;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обеспечение творческих проектов театральным реквизитом, бутафорией, гримом, постижерскими изделиями, театральными куклами, сценическими костюмами (в том числе головными уборами и обувью), включая их приобретение, закупку материалов, необходимых для изготовления, аренду и изготовление;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оплата работ (услуг), связанных со съемками и онлайн-показами творческих проектов;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оплата работ (услуг) по обеспечению тифлокомментирования и сурдоперевода творческих проектов;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уплата налогов и сборов, установленных законодательством Российской Федерации;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тыс. человек, включая: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технического и технологического оборудования, а также технических средств, необходимых для осуществления творческой деятельности (включая доставку, монтаж, демонтаж, установку, погрузочно-разгрузочные работы, пусконаладочные работы и обслуживание);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пассажирских и грузопассажирских автобусов для осуществления гастрольной деятельности;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и установку кресел, сидений-трансформеров, кресельных групп, телескопических трибун, скамеек, стульев для зрительного зала и мероприятий, проводимых вне стационарных площадок (включая доставку, монтаж, демонтаж, погрузочно-разгрузочные работы и обслуживание);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оборудования, необходимого для съемок и онлайн-показов творческих проектов;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приобретение автоматических устройств для проведения расчетов с целью приобретения билетов и контрольно-кассовой техники (платежные терминалы для оплаты банковскими картами, онлайн-кассы, электронные кассиры и другие);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оборудования, технических средств и объектов для формирования доступной среды с учетом потребностей маломобильных групп населения и лиц с ограниченными возможностями здоровья (адаптированный вход, аппарель, бордюрный пандус (съезд), визуальные средства информации, подъемная платформа, система радиоинформирования и ориентирования лиц с нарушением зрения, тактильно-контрастные наземные и напольные указатели, текстофон, оборудование для тифлокомментирования и сурдоперевода и другие), включая доставку, монтаж, демонтаж, установку, погрузочно-разгрузочные работы, пусконаладочные работы и обслуживание;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приобретение оборудования и технических средств, необходимых для обеспечения антитеррористической защищенности объектов культуры (металлодетекторы, интроскопы, видеокамеры, межсетевые экраны, средства связи, средства оповещения, электронные системы пропуска, тревожные кнопки и др.), включая доставку, монтаж, демонтаж, установку, погрузочно-разгрузочные работы, пусконаладочные работы и обслуживание.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5. Отбор муниципальных образований области для предоставления субсидии осуществляется по следующим критериям: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заявок в произвольной форме от органов местного самоуправления муниципальных образований области на предоставление субсидии за счет средств областного бюджета.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6. Размер субсидии, предоставляемый бюджету i-го муниципального образования области (V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),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= V1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+ V2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общий размер субсидии, предоставляемой бюджету i-го муниципального образования области на реализацию мероприятий, указанных в </w:t>
      </w:r>
      <w:hyperlink w:anchor="P2143">
        <w:r w:rsidRPr="00145A53">
          <w:rPr>
            <w:rFonts w:ascii="PT Astra Serif" w:hAnsi="PT Astra Serif"/>
            <w:sz w:val="28"/>
            <w:szCs w:val="28"/>
          </w:rPr>
          <w:t>пункте 3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настоящего Порядка;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V1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предоставляемой бюджету i-го муниципального образования области на реализацию мероприятий на поддержку творческой деятельности и (или) укрепление материально-технической базы детских и кукольных театров на соответствующий финансовый год;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V2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предоставляемой бюджету i-го муниципального образования области на поддержку творческой деятельности и (или) укрепление материально-технической базы театров, расположенных в </w:t>
      </w:r>
      <w:r w:rsidRPr="00145A53">
        <w:rPr>
          <w:rFonts w:ascii="PT Astra Serif" w:hAnsi="PT Astra Serif"/>
          <w:sz w:val="28"/>
          <w:szCs w:val="28"/>
        </w:rPr>
        <w:lastRenderedPageBreak/>
        <w:t>населенных пунктах с численностью населения до 300 тыс. человек на соответствующий финансовый год.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7. Размер субсидии, предоставляемой бюджету i-го муниципального образования области на реализацию мероприятий на поддержку творческой деятельности и (или) укрепление материально-технической базы детских и кукольных театров в соответствующем финансовом году (V1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),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V1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= 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x 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/ 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>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- объем средств, предусмотренных в областном бюджете на софинансирование мероприятий муниципальных программ, предусматривающих реализацию мероприятий на поддержку творческой деятельности и (или) укрепление материально-технической базы детских и кукольных театров;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- потребность i-го муниципального образования области в средствах областного бюджета на реализацию мероприятий на поддержку творческой деятельности и (или) укрепление материально-технической базы детских и кукольных театров согласно заявке органа местного самоуправления муниципального образования области, определяемой в соответствии с расчетом стоимости товаров (работ, услуг), сформированным на основании не менее трех коммерческих предложений поставщиков (в части укрепления материально-технической базы детских и кукольных театров), а также расчетом стоимости потребности на реализацию мероприятий на поддержку творческой деятельности;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 xml:space="preserve"> - потребность в целом всех муниципальных образований области в средствах областного бюджета на реализацию мероприятий на поддержку творческой деятельности и (или) укрепление материально-технической базы детских и кукольных театров согласно заявкам органов местного самоуправления муниципальных образований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8. Размер субсидии, предоставляемой бюджету i-го муниципального образования области на реализацию мероприятий на поддержку творческой деятельности и (или) укрепление материально-технической базы театров, расположенных в населенных пунктах с численностью населения до 300 тыс. человек в соответствующем финансовом году (V2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),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V2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= 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x 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/ 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>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- объем средств, предусмотренных в областном бюджете на софинансирование мероприятий муниципальных программ, предусматривающих реализацию мероприятий на поддержку творческой </w:t>
      </w:r>
      <w:r w:rsidRPr="00145A53">
        <w:rPr>
          <w:rFonts w:ascii="PT Astra Serif" w:hAnsi="PT Astra Serif"/>
          <w:sz w:val="28"/>
          <w:szCs w:val="28"/>
        </w:rPr>
        <w:lastRenderedPageBreak/>
        <w:t>деятельности и (или) укрепление материально-технической базы театров, расположенных в населенных пунктах с численностью населения до 300 тыс. человек;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- потребность i-го муниципального образования области в средствах областного бюджета реализацию мероприятий на поддержку творческой деятельности и (или) укрепление материально-технической базы театров, расположенных в населенных пунктах с численностью населения до 300 тыс. человек, согласно заявке органа местного самоуправления муниципального образования области, определяемой в соответствии с расчетом стоимости товаров (работ, услуг), сформированным на основании не менее трех коммерческих предложений поставщиков (в части укрепления материально-технической базы театров, расположенных в населенных пунктах с численностью населения до 300 тыс. человек), а также расчетом стоимости потребности на реализацию мероприятий на поддержку творческой деятельности;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 xml:space="preserve"> - потребность в целом всех муниципальных образований области в средствах областного бюджета на реализацию мероприятий на поддержку творческой деятельности и (или) укрепление материально-технической базы театров, расположенных в населенных пунктах с численностью населения до 300 тыс. человек, согласно заявкам органов местного самоуправления муниципальных образований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9. Условием предоставления субсидии бюджету муниципального образования области является: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наличие соглашения между Министерством и органом местного самоуправления муниципального образования области, заключаемого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237">
        <w:r w:rsidRPr="00145A53">
          <w:rPr>
            <w:rFonts w:ascii="PT Astra Serif" w:hAnsi="PT Astra Serif"/>
            <w:sz w:val="28"/>
            <w:szCs w:val="28"/>
          </w:rPr>
          <w:t>пункта 10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 - Соглашение), о предоставлении из бюджета Саратовской области субсидии бюджету муниципального образования области, предусматривающего обязательства муниципального образования области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10. Перечисление субсидии бюджетам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осуществления и отражения операций по учету и распределению </w:t>
      </w:r>
      <w:r w:rsidRPr="00145A53">
        <w:rPr>
          <w:rFonts w:ascii="PT Astra Serif" w:hAnsi="PT Astra Serif"/>
          <w:sz w:val="28"/>
          <w:szCs w:val="28"/>
        </w:rPr>
        <w:lastRenderedPageBreak/>
        <w:t>поступлений.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субсидий из областного бюджета местным бюджетам осуществляется в порядке, установленном Федеральным казначейством.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11. Перечисление субсидии бюджетам муниципальных образований области осуществляется на основании Соглашения в течение 30 рабочих дней со дня открытия на соответствующем лицевом счете в УФК предельных объемов оплаты денежных обязательств, источником финансового обеспечения которых являются средства федерального бюджета, на основании заявки на предоставление субсидии органом местного самоуправления муниципального образования области, но не позднее 1 ноября текущего года.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12. Субсидия носит целевой характер и не подлежит направлению на иные цели.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13.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14. Сроки, форма и порядок представления отчетности об осуществлении расходов местного бюджета, в целях софинансирования которых предоставляется субсидия, а также о достижении значений результатов использования субсидии устанавливаются в Соглашении.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15. Не использованные по состоянию на 1 января финансового года, следующего за годом предоставления субсидии, остатки субсидии, находящиеся на едином счете местного бюджета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финансового года, следующего за годом предоставления субсидии.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случае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16. Результатами использования субсидии являются: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усовершенствованы профессиональные репертуарные театры, расположенные в населенных пунктах с численностью населения до 300 тыс. человек, путем создания новых постановок и (или) улучшения материально-технического оснащения;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усовершенствованы детские и кукольные театры путем создания новых постановок и (или) улучшения материально-технического оснащения.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 xml:space="preserve">17. Предельный уровень софинансирования из областного бюджета расходных обязательств муниципальных районов области устанавливается в соответствии с </w:t>
      </w:r>
      <w:hyperlink r:id="rId238">
        <w:r w:rsidRPr="00145A53">
          <w:rPr>
            <w:rFonts w:ascii="PT Astra Serif" w:hAnsi="PT Astra Serif"/>
            <w:sz w:val="28"/>
            <w:szCs w:val="28"/>
          </w:rPr>
          <w:t>пунктом 3</w:t>
        </w:r>
      </w:hyperlink>
      <w:r w:rsidRPr="00145A53">
        <w:rPr>
          <w:rFonts w:ascii="PT Astra Serif" w:hAnsi="PT Astra Serif"/>
          <w:sz w:val="28"/>
          <w:szCs w:val="28"/>
        </w:rPr>
        <w:t xml:space="preserve"> Положения о порядке определения и установления предельного уровня софинансирования Саратовской областью (в процентах) объема расходного обязательства муниципального образования Саратовской области, утвержденного постановлением Правительства Саратовской области от 22 ноября 2019 года N 820-П.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Приложение N 19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Саратовской области</w:t>
      </w:r>
    </w:p>
    <w:p w:rsidR="00145A53" w:rsidRPr="00145A53" w:rsidRDefault="00145A5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"Культура Саратовской области"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ПОРЯДОК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СУБСИДИИ БЮДЖЕТАМ МУНИЦИПАЛЬНЫХ РАЙОНОВ, ГОРОДСКИХ ОКРУГОВ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И ПОСЕЛЕНИЙ ОБЛАСТИ НА МОДЕРНИЗАЦИЮ МУНИЦИПАЛЬНЫХ</w:t>
      </w:r>
    </w:p>
    <w:p w:rsidR="00145A53" w:rsidRPr="00145A53" w:rsidRDefault="00145A5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УЧРЕЖДЕНИЙ КУЛЬТУРЫ</w:t>
      </w:r>
    </w:p>
    <w:p w:rsidR="00145A53" w:rsidRPr="00145A53" w:rsidRDefault="00145A5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145A53" w:rsidRPr="00145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 xml:space="preserve">(введен </w:t>
            </w:r>
            <w:hyperlink r:id="rId239">
              <w:r w:rsidRPr="00145A53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145A5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45A53" w:rsidRPr="00145A53" w:rsidRDefault="00145A5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5A53">
              <w:rPr>
                <w:rFonts w:ascii="PT Astra Serif" w:hAnsi="PT Astra Serif"/>
                <w:sz w:val="28"/>
                <w:szCs w:val="28"/>
              </w:rPr>
              <w:t>от 11.02.2026 N 79-П)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53" w:rsidRPr="00145A53" w:rsidRDefault="00145A5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6" w:name="P2221"/>
      <w:bookmarkEnd w:id="16"/>
      <w:r w:rsidRPr="00145A53">
        <w:rPr>
          <w:rFonts w:ascii="PT Astra Serif" w:hAnsi="PT Astra Serif"/>
          <w:sz w:val="28"/>
          <w:szCs w:val="28"/>
        </w:rPr>
        <w:t>1. Настоящий Порядок определяет цели, методику и условия предоставления из областного бюджета субсидии бюджетам муниципальных районов, городских округов и поселений области (далее - муниципальные образования области) на модернизацию муниципальных учреждений культуры в целях софинансирования расходных обязательств муниципальных образований области, возникающих при реализации регионального проекта "Семейные ценности и инфраструктура культуры" государственной программы Саратовской области "Культура Саратовской области" и предусматривающих модернизацию учреждений культуры, путем реализации следующих мероприятий: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модернизация муниципальных библиотек;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модернизация муниципальных музеев;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в) модернизация учреждений культурно-досугового типа в населенных пунктах с численностью населения до 500 тыс. человек.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2. Понятия, используемые в настоящем Порядке: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муниципальные библиотеки - информационные, культурные, просветительские организации или их структурные подразделения, располагающие организованным фондом документов, предоставляющие их во временное пользование физическим и юридическим лицам, и находящиеся в муниципальной собственности;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модернизация муниципальных библиотек - капитальный ремонт библиотек, находящихся в муниципальной собственности;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модернизация муниципальных музеев - капитальный ремонт музеев, находящихся в муниципальной собственности;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модернизация учреждений культурно-досугового типа в населенных пунктах с численностью населения до 500 тыс. человек - капитальный ремонт учреждений культурно-досугового типа в населенных пунктах с численностью населения до 500 тыс. человек, находящихся в муниципальной собственности.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3. Субсидии муниципальным образованиям области предоставляются в пределах лимитов бюджетных обязательств, доведенных в установленном порядке до министерства культуры области (далее - Министерство) как получателя средств областного бюджета на цели, предусмотренные </w:t>
      </w:r>
      <w:hyperlink w:anchor="P2221">
        <w:r w:rsidRPr="00145A53">
          <w:rPr>
            <w:rFonts w:ascii="PT Astra Serif" w:hAnsi="PT Astra Serif"/>
            <w:sz w:val="28"/>
            <w:szCs w:val="28"/>
          </w:rPr>
          <w:t>пунктом 1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настоящего Порядка.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Субсидии не могут предоставляться бюджетам муниципальных образований области в целях софинансирования расходных обязательств, возникающих при выполнении работ по разработке проектной документации на модернизацию муниципальных библиотек, модернизацию муниципальных музеев и модернизацию учреждений культурно-досугового типа в населенных пунктах с численностью населения до 500 тыс. человек.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4. Отбор муниципальных образований области для предоставления субсидии осуществляется по следующим критериям: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наличие заявки от органа местного самоуправления муниципального образования области в свободной форме на предоставление субсидии за счет средств областного бюджета с указанием муниципального учреждения культуры, прошедшего отбор Министерством культуры Российской Федерации для получения субсидии на модернизацию учреждений культуры в рамках государственной </w:t>
      </w:r>
      <w:hyperlink r:id="rId240">
        <w:r w:rsidRPr="00145A53">
          <w:rPr>
            <w:rFonts w:ascii="PT Astra Serif" w:hAnsi="PT Astra Serif"/>
            <w:sz w:val="28"/>
            <w:szCs w:val="28"/>
          </w:rPr>
          <w:t>программы</w:t>
        </w:r>
      </w:hyperlink>
      <w:r w:rsidRPr="00145A53">
        <w:rPr>
          <w:rFonts w:ascii="PT Astra Serif" w:hAnsi="PT Astra Serif"/>
          <w:sz w:val="28"/>
          <w:szCs w:val="28"/>
        </w:rPr>
        <w:t xml:space="preserve"> Российской Федерации "Развитие культуры", утвержденной постановлением Правительства Российской Федерации от 15 апреля 2014 года N 317;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lastRenderedPageBreak/>
        <w:t>наличие гарантии органа местного самоуправления муниципального образования области, обеспечивающей последующее профильное использование модернизированных учреждений культуры;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наличие локально-сметного расчета на модернизацию муниципальных учреждений культуры.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5. Размер субсидии, предоставляемый бюджету i-го муниципального образования области (V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),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  <w:lang w:val="en-US"/>
        </w:rPr>
      </w:pPr>
      <w:r w:rsidRPr="00145A53">
        <w:rPr>
          <w:rFonts w:ascii="PT Astra Serif" w:hAnsi="PT Astra Serif"/>
          <w:sz w:val="28"/>
          <w:szCs w:val="28"/>
          <w:lang w:val="en-US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145A53">
        <w:rPr>
          <w:rFonts w:ascii="PT Astra Serif" w:hAnsi="PT Astra Serif"/>
          <w:sz w:val="28"/>
          <w:szCs w:val="28"/>
          <w:lang w:val="en-US"/>
        </w:rPr>
        <w:t>= V1</w:t>
      </w:r>
      <w:r w:rsidRPr="00145A53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145A53">
        <w:rPr>
          <w:rFonts w:ascii="PT Astra Serif" w:hAnsi="PT Astra Serif"/>
          <w:sz w:val="28"/>
          <w:szCs w:val="28"/>
          <w:lang w:val="en-US"/>
        </w:rPr>
        <w:t xml:space="preserve"> + V2</w:t>
      </w:r>
      <w:r w:rsidRPr="00145A53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145A53">
        <w:rPr>
          <w:rFonts w:ascii="PT Astra Serif" w:hAnsi="PT Astra Serif"/>
          <w:sz w:val="28"/>
          <w:szCs w:val="28"/>
          <w:lang w:val="en-US"/>
        </w:rPr>
        <w:t xml:space="preserve"> + V3</w:t>
      </w:r>
      <w:r w:rsidRPr="00145A53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145A53">
        <w:rPr>
          <w:rFonts w:ascii="PT Astra Serif" w:hAnsi="PT Astra Serif"/>
          <w:sz w:val="28"/>
          <w:szCs w:val="28"/>
          <w:lang w:val="en-US"/>
        </w:rPr>
        <w:t xml:space="preserve">, </w:t>
      </w:r>
      <w:r w:rsidRPr="00145A53">
        <w:rPr>
          <w:rFonts w:ascii="PT Astra Serif" w:hAnsi="PT Astra Serif"/>
          <w:sz w:val="28"/>
          <w:szCs w:val="28"/>
        </w:rPr>
        <w:t>где</w:t>
      </w:r>
      <w:r w:rsidRPr="00145A53">
        <w:rPr>
          <w:rFonts w:ascii="PT Astra Serif" w:hAnsi="PT Astra Serif"/>
          <w:sz w:val="28"/>
          <w:szCs w:val="28"/>
          <w:lang w:val="en-US"/>
        </w:rPr>
        <w:t>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общий размер субсидии, предоставляемой бюджету i-го муниципального образования области на реализацию мероприятий, указанных в </w:t>
      </w:r>
      <w:hyperlink w:anchor="P2221">
        <w:r w:rsidRPr="00145A53">
          <w:rPr>
            <w:rFonts w:ascii="PT Astra Serif" w:hAnsi="PT Astra Serif"/>
            <w:sz w:val="28"/>
            <w:szCs w:val="28"/>
          </w:rPr>
          <w:t>пункте 1</w:t>
        </w:r>
      </w:hyperlink>
      <w:r w:rsidRPr="00145A53">
        <w:rPr>
          <w:rFonts w:ascii="PT Astra Serif" w:hAnsi="PT Astra Serif"/>
          <w:sz w:val="28"/>
          <w:szCs w:val="28"/>
        </w:rPr>
        <w:t xml:space="preserve"> настоящего Порядка;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V1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предоставляемой бюджету i-го муниципального образования области на реализацию мероприятий по модернизации муниципальных библиотек на соответствующий финансовый год;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V2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предоставляемой бюджету i-го муниципального образования области на мероприятие по модернизации муниципальных музеев на соответствующий финансовый год;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V3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- размер субсидии, предоставляемой бюджету i-го муниципального образования области на мероприятие по модернизации учреждений культурно-досугового типа в населенных пунктах с численностью населения до 500 тыс. человек на соответствующий финансовый год.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6. Размер субсидии, предоставляемой бюджету i-го муниципального образования области на реализацию мероприятий по модернизации муниципальных библиотек в соответствующем финансовом году (V1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),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V1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= 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x 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/ 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>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- объем средств, предусмотренных в областном бюджете на софинансирование мероприятий муниципальных программ, предусматривающих реализацию мероприятий по модернизации муниципальных библиотек;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- потребность i-го муниципального образования области в средствах областного бюджета на реализацию мероприятий по модернизации муниципальных библиотек согласно заявке органа местного самоуправления муниципального образования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 xml:space="preserve"> - потребность в целом всех муниципальных образований области в </w:t>
      </w:r>
      <w:r w:rsidRPr="00145A53">
        <w:rPr>
          <w:rFonts w:ascii="PT Astra Serif" w:hAnsi="PT Astra Serif"/>
          <w:sz w:val="28"/>
          <w:szCs w:val="28"/>
        </w:rPr>
        <w:lastRenderedPageBreak/>
        <w:t>средствах областного бюджета на реализацию мероприятий по модернизации муниципальных библиотек согласно заявкам органов местного самоуправления муниципальных образований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7. Размер субсидии, предоставляемой бюджету i-го муниципального образования области на реализацию мероприятий по модернизации муниципальных музеев в соответствующем финансовом году (V2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),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V2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= 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x 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/ 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>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- объем средств, предусмотренных в областном бюджете на софинансирование мероприятий муниципальных программ, предусматривающих реализацию мероприятий по модернизации муниципальных музеев;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- потребность i-го муниципального образования области в средствах областного бюджета на реализацию мероприятий по модернизации муниципальных музеев согласно заявке органа местного самоуправления муниципального образования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 xml:space="preserve"> - потребность в целом всех муниципальных образований области в средствах областного бюджета на реализацию мероприятий по модернизации муниципальных музеев согласно заявкам органов местного самоуправления муниципальных образований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8. Размер субсидии, предоставляемой бюджету i-го муниципального образования области на реализацию мероприятий модернизация учреждений культурно-досугового типа в населенных пунктах с численностью населения до 500 тыс. человек в соответствующем финансовом году (V3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>), определяется по формуле: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V3</w:t>
      </w:r>
      <w:r w:rsidRPr="00145A53">
        <w:rPr>
          <w:rFonts w:ascii="PT Astra Serif" w:hAnsi="PT Astra Serif"/>
          <w:sz w:val="28"/>
          <w:szCs w:val="28"/>
          <w:vertAlign w:val="subscript"/>
        </w:rPr>
        <w:t>i</w:t>
      </w:r>
      <w:r w:rsidRPr="00145A53">
        <w:rPr>
          <w:rFonts w:ascii="PT Astra Serif" w:hAnsi="PT Astra Serif"/>
          <w:sz w:val="28"/>
          <w:szCs w:val="28"/>
        </w:rPr>
        <w:t xml:space="preserve"> = 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x 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/ 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>, где: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V</w:t>
      </w:r>
      <w:r w:rsidRPr="00145A53">
        <w:rPr>
          <w:rFonts w:ascii="PT Astra Serif" w:hAnsi="PT Astra Serif"/>
          <w:sz w:val="28"/>
          <w:szCs w:val="28"/>
          <w:vertAlign w:val="subscript"/>
        </w:rPr>
        <w:t>о</w:t>
      </w:r>
      <w:r w:rsidRPr="00145A53">
        <w:rPr>
          <w:rFonts w:ascii="PT Astra Serif" w:hAnsi="PT Astra Serif"/>
          <w:sz w:val="28"/>
          <w:szCs w:val="28"/>
        </w:rPr>
        <w:t xml:space="preserve"> - объем средств, предусмотренных в областном бюджете на софинансирование мероприятий муниципальных программ, предусматривающих реализацию мероприятий по модернизации учреждений культурно-досугового типа в населенных пунктах с численностью населения до 500 тыс. человек;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оi</w:t>
      </w:r>
      <w:r w:rsidRPr="00145A53">
        <w:rPr>
          <w:rFonts w:ascii="PT Astra Serif" w:hAnsi="PT Astra Serif"/>
          <w:sz w:val="28"/>
          <w:szCs w:val="28"/>
        </w:rPr>
        <w:t xml:space="preserve"> - потребность i-го муниципального образования области в средствах областного бюджета на реализацию мероприятий по модернизации учреждений культурно-досугового типа в населенных пунктах с численностью населения до 500 тыс. человек согласно заявке органа местного самоуправления муниципального образования области;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P</w:t>
      </w:r>
      <w:r w:rsidRPr="00145A53">
        <w:rPr>
          <w:rFonts w:ascii="PT Astra Serif" w:hAnsi="PT Astra Serif"/>
          <w:sz w:val="28"/>
          <w:szCs w:val="28"/>
          <w:vertAlign w:val="subscript"/>
        </w:rPr>
        <w:t>о общ.</w:t>
      </w:r>
      <w:r w:rsidRPr="00145A53">
        <w:rPr>
          <w:rFonts w:ascii="PT Astra Serif" w:hAnsi="PT Astra Serif"/>
          <w:sz w:val="28"/>
          <w:szCs w:val="28"/>
        </w:rPr>
        <w:t xml:space="preserve"> - потребность в целом всех муниципальных образований области в </w:t>
      </w:r>
      <w:r w:rsidRPr="00145A53">
        <w:rPr>
          <w:rFonts w:ascii="PT Astra Serif" w:hAnsi="PT Astra Serif"/>
          <w:sz w:val="28"/>
          <w:szCs w:val="28"/>
        </w:rPr>
        <w:lastRenderedPageBreak/>
        <w:t>средствах областного бюджета на реализацию мероприятий по модернизации учреждений культурно-досугового типа в населенных пунктах с численностью населения до 500 тыс. человек согласно заявкам органов местного самоуправления муниципальных образований области.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9. Условиями предоставления субсидии бюджету муниципального образования области являются: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наличие соглашения между Министерством и органом местного самоуправления муниципального образования области, заключаемого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241">
        <w:r w:rsidRPr="00145A53">
          <w:rPr>
            <w:rFonts w:ascii="PT Astra Serif" w:hAnsi="PT Astra Serif"/>
            <w:sz w:val="28"/>
            <w:szCs w:val="28"/>
          </w:rPr>
          <w:t>пункта 10</w:t>
        </w:r>
      </w:hyperlink>
      <w:r w:rsidRPr="00145A53">
        <w:rPr>
          <w:rFonts w:ascii="PT Astra Serif" w:hAnsi="PT Astra Serif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 - Соглашение), о предоставлении из бюджета Саратовской области субсидии бюджету муниципального образования области, предусматривающего обязательства муниципального образования области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определение заказчиками при капитальном ремонте муниципальных организаций культуры, финансовое обеспечение которых частично или полностью осуществляется за счет субсидии, органов местного самоуправления или специализированных учреждений в сфере строительства;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централизация закупок товаров, финансовое обеспечение которых частично или полностью осуществляется за счет субсидии.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10. Перечисление субсидии бюджетам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осуществления и отражения операций по учету и распределению поступлений.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субсидий из областного бюджета местным бюджетам осуществляется в порядке, установленном Федеральным казначейством.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11. Перечисление субсидии бюджетам муниципальных образований области осуществляется на основании Соглашения в течение 30 рабочих дней со дня открытия на соответствующем лицевом счете в УФК предельных объемов оплаты денежных обязательств, источником финансового </w:t>
      </w:r>
      <w:r w:rsidRPr="00145A53">
        <w:rPr>
          <w:rFonts w:ascii="PT Astra Serif" w:hAnsi="PT Astra Serif"/>
          <w:sz w:val="28"/>
          <w:szCs w:val="28"/>
        </w:rPr>
        <w:lastRenderedPageBreak/>
        <w:t>обеспечения которых являются средства федерального бюджета, на основании заявки на предоставление субсидии органом местного самоуправления муниципального образования области, но не позднее 1 ноября текущего года.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12. Субсидия носит целевой характер и не подлежит направлению на иные цели.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13.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14. Сроки, форма и порядок представления отчетности об осуществлении расходов местного бюджета, в целях софинансирования которых предоставляется субсидия, а также о достижении значений результатов использования субсидии устанавливаются в Соглашении.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15. Не использованные по состоянию на 1 января финансового года, следующего за годом предоставления субсидии, остатки субсидии, находящиеся на едином счете местного бюджета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финансового года, следующего за годом предоставления субсидии.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 случае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16. Результатами использования субсидии являются: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а) для мероприятия по модернизации муниципальных библиотек - "проведена модернизация муниципальных библиотек";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б) для мероприятия по модернизации муниципальных музеев - "проведена модернизация музеев, находящихся в муниципальной собственности";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>в) для мероприятия по модернизации учреждений культурно-досугового типа в населенных пунктах с численностью населения до 500 тыс. человек - "проведена модернизация учреждений культурно-досугового типа в населенных пунктах с численностью до 500 тыс. человек".</w:t>
      </w:r>
    </w:p>
    <w:p w:rsidR="00145A53" w:rsidRPr="00145A53" w:rsidRDefault="00145A5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5A53">
        <w:rPr>
          <w:rFonts w:ascii="PT Astra Serif" w:hAnsi="PT Astra Serif"/>
          <w:sz w:val="28"/>
          <w:szCs w:val="28"/>
        </w:rPr>
        <w:t xml:space="preserve">17. Предельный уровень софинансирования из областного бюджета расходных обязательств муниципальных районов области устанавливается в соответствии с </w:t>
      </w:r>
      <w:hyperlink r:id="rId242">
        <w:r w:rsidRPr="00145A53">
          <w:rPr>
            <w:rFonts w:ascii="PT Astra Serif" w:hAnsi="PT Astra Serif"/>
            <w:sz w:val="28"/>
            <w:szCs w:val="28"/>
          </w:rPr>
          <w:t>пунктом 3</w:t>
        </w:r>
      </w:hyperlink>
      <w:r w:rsidRPr="00145A53">
        <w:rPr>
          <w:rFonts w:ascii="PT Astra Serif" w:hAnsi="PT Astra Serif"/>
          <w:sz w:val="28"/>
          <w:szCs w:val="28"/>
        </w:rPr>
        <w:t xml:space="preserve"> Положения о порядке определения и установления предельного уровня софинансирования Саратовской областью (в процентах) объема расходного обязательства муниципального образования Саратовской области, утвержденного постановлением Правительства Саратовской области </w:t>
      </w:r>
      <w:r w:rsidRPr="00145A53">
        <w:rPr>
          <w:rFonts w:ascii="PT Astra Serif" w:hAnsi="PT Astra Serif"/>
          <w:sz w:val="28"/>
          <w:szCs w:val="28"/>
        </w:rPr>
        <w:lastRenderedPageBreak/>
        <w:t>от 22 ноября 2019 года N 820-П.</w:t>
      </w: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5A53" w:rsidRPr="00145A53" w:rsidRDefault="00145A53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145A53" w:rsidRDefault="00145A53">
      <w:pPr>
        <w:rPr>
          <w:rFonts w:ascii="PT Astra Serif" w:hAnsi="PT Astra Serif"/>
          <w:sz w:val="28"/>
          <w:szCs w:val="28"/>
        </w:rPr>
      </w:pPr>
    </w:p>
    <w:sectPr w:rsidR="005A1A7E" w:rsidRPr="00145A53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A53"/>
    <w:rsid w:val="000C2229"/>
    <w:rsid w:val="00145A53"/>
    <w:rsid w:val="00172250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145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45A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45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45A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45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45A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45A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45A5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145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45A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45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45A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45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45A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45A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45A5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358&amp;n=191966&amp;dst=100069" TargetMode="External"/><Relationship Id="rId21" Type="http://schemas.openxmlformats.org/officeDocument/2006/relationships/hyperlink" Target="https://login.consultant.ru/link/?req=doc&amp;base=RLAW358&amp;n=108040&amp;dst=100005" TargetMode="External"/><Relationship Id="rId42" Type="http://schemas.openxmlformats.org/officeDocument/2006/relationships/hyperlink" Target="https://login.consultant.ru/link/?req=doc&amp;base=RLAW358&amp;n=161395&amp;dst=100005" TargetMode="External"/><Relationship Id="rId63" Type="http://schemas.openxmlformats.org/officeDocument/2006/relationships/hyperlink" Target="https://login.consultant.ru/link/?req=doc&amp;base=RLAW358&amp;n=193649&amp;dst=100005" TargetMode="External"/><Relationship Id="rId84" Type="http://schemas.openxmlformats.org/officeDocument/2006/relationships/hyperlink" Target="https://login.consultant.ru/link/?req=doc&amp;base=RLAW358&amp;n=181725&amp;dst=100037" TargetMode="External"/><Relationship Id="rId138" Type="http://schemas.openxmlformats.org/officeDocument/2006/relationships/hyperlink" Target="https://login.consultant.ru/link/?req=doc&amp;base=RLAW358&amp;n=191966&amp;dst=100097" TargetMode="External"/><Relationship Id="rId159" Type="http://schemas.openxmlformats.org/officeDocument/2006/relationships/hyperlink" Target="https://login.consultant.ru/link/?req=doc&amp;base=RLAW358&amp;n=171340&amp;dst=106969" TargetMode="External"/><Relationship Id="rId170" Type="http://schemas.openxmlformats.org/officeDocument/2006/relationships/hyperlink" Target="https://login.consultant.ru/link/?req=doc&amp;base=RLAW358&amp;n=191966&amp;dst=100132" TargetMode="External"/><Relationship Id="rId191" Type="http://schemas.openxmlformats.org/officeDocument/2006/relationships/hyperlink" Target="https://login.consultant.ru/link/?req=doc&amp;base=RLAW358&amp;n=191966&amp;dst=100179" TargetMode="External"/><Relationship Id="rId205" Type="http://schemas.openxmlformats.org/officeDocument/2006/relationships/hyperlink" Target="https://login.consultant.ru/link/?req=doc&amp;base=RLAW358&amp;n=191966&amp;dst=100366" TargetMode="External"/><Relationship Id="rId226" Type="http://schemas.openxmlformats.org/officeDocument/2006/relationships/hyperlink" Target="https://login.consultant.ru/link/?req=doc&amp;base=LAW&amp;n=490119&amp;dst=100027" TargetMode="External"/><Relationship Id="rId107" Type="http://schemas.openxmlformats.org/officeDocument/2006/relationships/hyperlink" Target="https://login.consultant.ru/link/?req=doc&amp;base=RLAW358&amp;n=181725&amp;dst=100090" TargetMode="External"/><Relationship Id="rId11" Type="http://schemas.openxmlformats.org/officeDocument/2006/relationships/hyperlink" Target="https://login.consultant.ru/link/?req=doc&amp;base=RLAW358&amp;n=91801&amp;dst=100005" TargetMode="External"/><Relationship Id="rId32" Type="http://schemas.openxmlformats.org/officeDocument/2006/relationships/hyperlink" Target="https://login.consultant.ru/link/?req=doc&amp;base=RLAW358&amp;n=126420&amp;dst=100005" TargetMode="External"/><Relationship Id="rId53" Type="http://schemas.openxmlformats.org/officeDocument/2006/relationships/hyperlink" Target="https://login.consultant.ru/link/?req=doc&amp;base=RLAW358&amp;n=184182&amp;dst=100400" TargetMode="External"/><Relationship Id="rId74" Type="http://schemas.openxmlformats.org/officeDocument/2006/relationships/hyperlink" Target="https://login.consultant.ru/link/?req=doc&amp;base=RLAW358&amp;n=181725&amp;dst=100015" TargetMode="External"/><Relationship Id="rId128" Type="http://schemas.openxmlformats.org/officeDocument/2006/relationships/hyperlink" Target="https://login.consultant.ru/link/?req=doc&amp;base=LAW&amp;n=409736" TargetMode="External"/><Relationship Id="rId149" Type="http://schemas.openxmlformats.org/officeDocument/2006/relationships/hyperlink" Target="https://login.consultant.ru/link/?req=doc&amp;base=RLAW358&amp;n=191966&amp;dst=100119" TargetMode="External"/><Relationship Id="rId5" Type="http://schemas.openxmlformats.org/officeDocument/2006/relationships/hyperlink" Target="https://login.consultant.ru/link/?req=doc&amp;base=RLAW358&amp;n=75385&amp;dst=100005" TargetMode="External"/><Relationship Id="rId95" Type="http://schemas.openxmlformats.org/officeDocument/2006/relationships/hyperlink" Target="https://login.consultant.ru/link/?req=doc&amp;base=RLAW358&amp;n=193649&amp;dst=100012" TargetMode="External"/><Relationship Id="rId160" Type="http://schemas.openxmlformats.org/officeDocument/2006/relationships/hyperlink" Target="https://login.consultant.ru/link/?req=doc&amp;base=RLAW358&amp;n=191966&amp;dst=100125" TargetMode="External"/><Relationship Id="rId181" Type="http://schemas.openxmlformats.org/officeDocument/2006/relationships/hyperlink" Target="https://login.consultant.ru/link/?req=doc&amp;base=RLAW358&amp;n=191966&amp;dst=100139" TargetMode="External"/><Relationship Id="rId216" Type="http://schemas.openxmlformats.org/officeDocument/2006/relationships/hyperlink" Target="https://login.consultant.ru/link/?req=doc&amp;base=RLAW358&amp;n=197621&amp;dst=100011" TargetMode="External"/><Relationship Id="rId237" Type="http://schemas.openxmlformats.org/officeDocument/2006/relationships/hyperlink" Target="https://login.consultant.ru/link/?req=doc&amp;base=LAW&amp;n=540410&amp;dst=100044" TargetMode="External"/><Relationship Id="rId22" Type="http://schemas.openxmlformats.org/officeDocument/2006/relationships/hyperlink" Target="https://login.consultant.ru/link/?req=doc&amp;base=RLAW358&amp;n=108796&amp;dst=100005" TargetMode="External"/><Relationship Id="rId43" Type="http://schemas.openxmlformats.org/officeDocument/2006/relationships/hyperlink" Target="https://login.consultant.ru/link/?req=doc&amp;base=RLAW358&amp;n=168933&amp;dst=100005" TargetMode="External"/><Relationship Id="rId64" Type="http://schemas.openxmlformats.org/officeDocument/2006/relationships/hyperlink" Target="https://login.consultant.ru/link/?req=doc&amp;base=RLAW358&amp;n=195315&amp;dst=100005" TargetMode="External"/><Relationship Id="rId118" Type="http://schemas.openxmlformats.org/officeDocument/2006/relationships/hyperlink" Target="https://login.consultant.ru/link/?req=doc&amp;base=RLAW358&amp;n=191966&amp;dst=100070" TargetMode="External"/><Relationship Id="rId139" Type="http://schemas.openxmlformats.org/officeDocument/2006/relationships/hyperlink" Target="https://login.consultant.ru/link/?req=doc&amp;base=RLAW358&amp;n=191966&amp;dst=100098" TargetMode="External"/><Relationship Id="rId85" Type="http://schemas.openxmlformats.org/officeDocument/2006/relationships/hyperlink" Target="https://login.consultant.ru/link/?req=doc&amp;base=RLAW358&amp;n=181725&amp;dst=100039" TargetMode="External"/><Relationship Id="rId150" Type="http://schemas.openxmlformats.org/officeDocument/2006/relationships/hyperlink" Target="https://login.consultant.ru/link/?req=doc&amp;base=LAW&amp;n=540410&amp;dst=388" TargetMode="External"/><Relationship Id="rId171" Type="http://schemas.openxmlformats.org/officeDocument/2006/relationships/hyperlink" Target="https://login.consultant.ru/link/?req=doc&amp;base=RLAW358&amp;n=191966&amp;dst=100134" TargetMode="External"/><Relationship Id="rId192" Type="http://schemas.openxmlformats.org/officeDocument/2006/relationships/hyperlink" Target="https://login.consultant.ru/link/?req=doc&amp;base=RLAW358&amp;n=191966&amp;dst=100180" TargetMode="External"/><Relationship Id="rId206" Type="http://schemas.openxmlformats.org/officeDocument/2006/relationships/hyperlink" Target="https://login.consultant.ru/link/?req=doc&amp;base=LAW&amp;n=539609&amp;dst=167931" TargetMode="External"/><Relationship Id="rId227" Type="http://schemas.openxmlformats.org/officeDocument/2006/relationships/hyperlink" Target="https://login.consultant.ru/link/?req=doc&amp;base=LAW&amp;n=540410&amp;dst=502" TargetMode="External"/><Relationship Id="rId201" Type="http://schemas.openxmlformats.org/officeDocument/2006/relationships/hyperlink" Target="https://login.consultant.ru/link/?req=doc&amp;base=RLAW358&amp;n=195315&amp;dst=100025" TargetMode="External"/><Relationship Id="rId222" Type="http://schemas.openxmlformats.org/officeDocument/2006/relationships/hyperlink" Target="https://login.consultant.ru/link/?req=doc&amp;base=RLAW358&amp;n=189218&amp;dst=3" TargetMode="External"/><Relationship Id="rId243" Type="http://schemas.openxmlformats.org/officeDocument/2006/relationships/fontTable" Target="fontTable.xml"/><Relationship Id="rId12" Type="http://schemas.openxmlformats.org/officeDocument/2006/relationships/hyperlink" Target="https://login.consultant.ru/link/?req=doc&amp;base=RLAW358&amp;n=96083&amp;dst=100005" TargetMode="External"/><Relationship Id="rId17" Type="http://schemas.openxmlformats.org/officeDocument/2006/relationships/hyperlink" Target="https://login.consultant.ru/link/?req=doc&amp;base=RLAW358&amp;n=102880&amp;dst=100005" TargetMode="External"/><Relationship Id="rId33" Type="http://schemas.openxmlformats.org/officeDocument/2006/relationships/hyperlink" Target="https://login.consultant.ru/link/?req=doc&amp;base=RLAW358&amp;n=136359&amp;dst=100005" TargetMode="External"/><Relationship Id="rId38" Type="http://schemas.openxmlformats.org/officeDocument/2006/relationships/hyperlink" Target="https://login.consultant.ru/link/?req=doc&amp;base=RLAW358&amp;n=154168&amp;dst=100005" TargetMode="External"/><Relationship Id="rId59" Type="http://schemas.openxmlformats.org/officeDocument/2006/relationships/hyperlink" Target="https://login.consultant.ru/link/?req=doc&amp;base=RLAW358&amp;n=181914&amp;dst=100005" TargetMode="External"/><Relationship Id="rId103" Type="http://schemas.openxmlformats.org/officeDocument/2006/relationships/hyperlink" Target="https://login.consultant.ru/link/?req=doc&amp;base=RLAW358&amp;n=181725&amp;dst=100090" TargetMode="External"/><Relationship Id="rId108" Type="http://schemas.openxmlformats.org/officeDocument/2006/relationships/hyperlink" Target="https://login.consultant.ru/link/?req=doc&amp;base=RLAW358&amp;n=191966&amp;dst=100051" TargetMode="External"/><Relationship Id="rId124" Type="http://schemas.openxmlformats.org/officeDocument/2006/relationships/hyperlink" Target="https://login.consultant.ru/link/?req=doc&amp;base=RLAW358&amp;n=191966&amp;dst=100080" TargetMode="External"/><Relationship Id="rId129" Type="http://schemas.openxmlformats.org/officeDocument/2006/relationships/image" Target="media/image4.wmf"/><Relationship Id="rId54" Type="http://schemas.openxmlformats.org/officeDocument/2006/relationships/hyperlink" Target="https://login.consultant.ru/link/?req=doc&amp;base=RLAW358&amp;n=181534&amp;dst=100475" TargetMode="External"/><Relationship Id="rId70" Type="http://schemas.openxmlformats.org/officeDocument/2006/relationships/hyperlink" Target="https://login.consultant.ru/link/?req=doc&amp;base=RLAW358&amp;n=192552" TargetMode="External"/><Relationship Id="rId75" Type="http://schemas.openxmlformats.org/officeDocument/2006/relationships/hyperlink" Target="https://login.consultant.ru/link/?req=doc&amp;base=RLAW358&amp;n=181725&amp;dst=100016" TargetMode="External"/><Relationship Id="rId91" Type="http://schemas.openxmlformats.org/officeDocument/2006/relationships/hyperlink" Target="https://login.consultant.ru/link/?req=doc&amp;base=RLAW358&amp;n=191966&amp;dst=100017" TargetMode="External"/><Relationship Id="rId96" Type="http://schemas.openxmlformats.org/officeDocument/2006/relationships/hyperlink" Target="https://login.consultant.ru/link/?req=doc&amp;base=RLAW358&amp;n=193649&amp;dst=100013" TargetMode="External"/><Relationship Id="rId140" Type="http://schemas.openxmlformats.org/officeDocument/2006/relationships/hyperlink" Target="https://login.consultant.ru/link/?req=doc&amp;base=LAW&amp;n=540410&amp;dst=388" TargetMode="External"/><Relationship Id="rId145" Type="http://schemas.openxmlformats.org/officeDocument/2006/relationships/hyperlink" Target="https://login.consultant.ru/link/?req=doc&amp;base=RLAW358&amp;n=195315&amp;dst=100025" TargetMode="External"/><Relationship Id="rId161" Type="http://schemas.openxmlformats.org/officeDocument/2006/relationships/hyperlink" Target="https://login.consultant.ru/link/?req=doc&amp;base=RLAW358&amp;n=191966&amp;dst=100126" TargetMode="External"/><Relationship Id="rId166" Type="http://schemas.openxmlformats.org/officeDocument/2006/relationships/hyperlink" Target="https://login.consultant.ru/link/?req=doc&amp;base=LAW&amp;n=539609&amp;dst=168297" TargetMode="External"/><Relationship Id="rId182" Type="http://schemas.openxmlformats.org/officeDocument/2006/relationships/hyperlink" Target="https://login.consultant.ru/link/?req=doc&amp;base=RLAW358&amp;n=191966&amp;dst=100140" TargetMode="External"/><Relationship Id="rId187" Type="http://schemas.openxmlformats.org/officeDocument/2006/relationships/hyperlink" Target="https://login.consultant.ru/link/?req=doc&amp;base=RLAW358&amp;n=191966&amp;dst=100144" TargetMode="External"/><Relationship Id="rId217" Type="http://schemas.openxmlformats.org/officeDocument/2006/relationships/hyperlink" Target="https://login.consultant.ru/link/?req=doc&amp;base=RLAW358&amp;n=197621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77330&amp;dst=100005" TargetMode="External"/><Relationship Id="rId212" Type="http://schemas.openxmlformats.org/officeDocument/2006/relationships/hyperlink" Target="https://login.consultant.ru/link/?req=doc&amp;base=RLAW358&amp;n=191966&amp;dst=100370" TargetMode="External"/><Relationship Id="rId233" Type="http://schemas.openxmlformats.org/officeDocument/2006/relationships/hyperlink" Target="https://login.consultant.ru/link/?req=doc&amp;base=RLAW358&amp;n=197621&amp;dst=100009" TargetMode="External"/><Relationship Id="rId238" Type="http://schemas.openxmlformats.org/officeDocument/2006/relationships/hyperlink" Target="https://login.consultant.ru/link/?req=doc&amp;base=RLAW358&amp;n=189218&amp;dst=3" TargetMode="External"/><Relationship Id="rId23" Type="http://schemas.openxmlformats.org/officeDocument/2006/relationships/hyperlink" Target="https://login.consultant.ru/link/?req=doc&amp;base=RLAW358&amp;n=109002&amp;dst=100005" TargetMode="External"/><Relationship Id="rId28" Type="http://schemas.openxmlformats.org/officeDocument/2006/relationships/hyperlink" Target="https://login.consultant.ru/link/?req=doc&amp;base=RLAW358&amp;n=117557&amp;dst=100005" TargetMode="External"/><Relationship Id="rId49" Type="http://schemas.openxmlformats.org/officeDocument/2006/relationships/hyperlink" Target="https://login.consultant.ru/link/?req=doc&amp;base=RLAW358&amp;n=193651&amp;dst=100005" TargetMode="External"/><Relationship Id="rId114" Type="http://schemas.openxmlformats.org/officeDocument/2006/relationships/hyperlink" Target="https://login.consultant.ru/link/?req=doc&amp;base=RLAW358&amp;n=191966&amp;dst=100061" TargetMode="External"/><Relationship Id="rId119" Type="http://schemas.openxmlformats.org/officeDocument/2006/relationships/hyperlink" Target="https://login.consultant.ru/link/?req=doc&amp;base=RLAW358&amp;n=195315&amp;dst=100014" TargetMode="External"/><Relationship Id="rId44" Type="http://schemas.openxmlformats.org/officeDocument/2006/relationships/hyperlink" Target="https://login.consultant.ru/link/?req=doc&amp;base=RLAW358&amp;n=169985&amp;dst=100005" TargetMode="External"/><Relationship Id="rId60" Type="http://schemas.openxmlformats.org/officeDocument/2006/relationships/hyperlink" Target="https://login.consultant.ru/link/?req=doc&amp;base=RLAW358&amp;n=181725&amp;dst=100005" TargetMode="External"/><Relationship Id="rId65" Type="http://schemas.openxmlformats.org/officeDocument/2006/relationships/hyperlink" Target="https://login.consultant.ru/link/?req=doc&amp;base=RLAW358&amp;n=197621&amp;dst=100009" TargetMode="External"/><Relationship Id="rId81" Type="http://schemas.openxmlformats.org/officeDocument/2006/relationships/hyperlink" Target="https://login.consultant.ru/link/?req=doc&amp;base=RLAW358&amp;n=181725&amp;dst=100022" TargetMode="External"/><Relationship Id="rId86" Type="http://schemas.openxmlformats.org/officeDocument/2006/relationships/hyperlink" Target="https://login.consultant.ru/link/?req=doc&amp;base=LAW&amp;n=475991" TargetMode="External"/><Relationship Id="rId130" Type="http://schemas.openxmlformats.org/officeDocument/2006/relationships/hyperlink" Target="https://login.consultant.ru/link/?req=doc&amp;base=LAW&amp;n=409736" TargetMode="External"/><Relationship Id="rId135" Type="http://schemas.openxmlformats.org/officeDocument/2006/relationships/hyperlink" Target="https://login.consultant.ru/link/?req=doc&amp;base=RLAW358&amp;n=195315&amp;dst=100023" TargetMode="External"/><Relationship Id="rId151" Type="http://schemas.openxmlformats.org/officeDocument/2006/relationships/hyperlink" Target="https://login.consultant.ru/link/?req=doc&amp;base=RLAW358&amp;n=191966&amp;dst=100120" TargetMode="External"/><Relationship Id="rId156" Type="http://schemas.openxmlformats.org/officeDocument/2006/relationships/hyperlink" Target="https://login.consultant.ru/link/?req=doc&amp;base=LAW&amp;n=485612" TargetMode="External"/><Relationship Id="rId177" Type="http://schemas.openxmlformats.org/officeDocument/2006/relationships/hyperlink" Target="https://login.consultant.ru/link/?req=doc&amp;base=RLAW358&amp;n=191966&amp;dst=100137" TargetMode="External"/><Relationship Id="rId198" Type="http://schemas.openxmlformats.org/officeDocument/2006/relationships/image" Target="media/image13.wmf"/><Relationship Id="rId172" Type="http://schemas.openxmlformats.org/officeDocument/2006/relationships/hyperlink" Target="https://login.consultant.ru/link/?req=doc&amp;base=RLAW358&amp;n=191966&amp;dst=100135" TargetMode="External"/><Relationship Id="rId193" Type="http://schemas.openxmlformats.org/officeDocument/2006/relationships/hyperlink" Target="https://login.consultant.ru/link/?req=doc&amp;base=RLAW358&amp;n=191966&amp;dst=100181" TargetMode="External"/><Relationship Id="rId202" Type="http://schemas.openxmlformats.org/officeDocument/2006/relationships/hyperlink" Target="https://login.consultant.ru/link/?req=doc&amp;base=RLAW358&amp;n=193649&amp;dst=100016" TargetMode="External"/><Relationship Id="rId207" Type="http://schemas.openxmlformats.org/officeDocument/2006/relationships/hyperlink" Target="https://login.consultant.ru/link/?req=doc&amp;base=LAW&amp;n=539609&amp;dst=167970" TargetMode="External"/><Relationship Id="rId223" Type="http://schemas.openxmlformats.org/officeDocument/2006/relationships/hyperlink" Target="https://login.consultant.ru/link/?req=doc&amp;base=RLAW358&amp;n=195315&amp;dst=100107" TargetMode="External"/><Relationship Id="rId228" Type="http://schemas.openxmlformats.org/officeDocument/2006/relationships/hyperlink" Target="https://login.consultant.ru/link/?req=doc&amp;base=RLAW358&amp;n=197621&amp;dst=100009" TargetMode="External"/><Relationship Id="rId244" Type="http://schemas.openxmlformats.org/officeDocument/2006/relationships/theme" Target="theme/theme1.xml"/><Relationship Id="rId13" Type="http://schemas.openxmlformats.org/officeDocument/2006/relationships/hyperlink" Target="https://login.consultant.ru/link/?req=doc&amp;base=RLAW358&amp;n=97482&amp;dst=100005" TargetMode="External"/><Relationship Id="rId18" Type="http://schemas.openxmlformats.org/officeDocument/2006/relationships/hyperlink" Target="https://login.consultant.ru/link/?req=doc&amp;base=RLAW358&amp;n=104249&amp;dst=100005" TargetMode="External"/><Relationship Id="rId39" Type="http://schemas.openxmlformats.org/officeDocument/2006/relationships/hyperlink" Target="https://login.consultant.ru/link/?req=doc&amp;base=RLAW358&amp;n=154368&amp;dst=100005" TargetMode="External"/><Relationship Id="rId109" Type="http://schemas.openxmlformats.org/officeDocument/2006/relationships/hyperlink" Target="https://login.consultant.ru/link/?req=doc&amp;base=RLAW358&amp;n=195315&amp;dst=100011" TargetMode="External"/><Relationship Id="rId34" Type="http://schemas.openxmlformats.org/officeDocument/2006/relationships/hyperlink" Target="https://login.consultant.ru/link/?req=doc&amp;base=RLAW358&amp;n=139833&amp;dst=100005" TargetMode="External"/><Relationship Id="rId50" Type="http://schemas.openxmlformats.org/officeDocument/2006/relationships/hyperlink" Target="https://login.consultant.ru/link/?req=doc&amp;base=RLAW358&amp;n=193649&amp;dst=100005" TargetMode="External"/><Relationship Id="rId55" Type="http://schemas.openxmlformats.org/officeDocument/2006/relationships/hyperlink" Target="https://login.consultant.ru/link/?req=doc&amp;base=RLAW358&amp;n=117557&amp;dst=100007" TargetMode="External"/><Relationship Id="rId76" Type="http://schemas.openxmlformats.org/officeDocument/2006/relationships/hyperlink" Target="https://login.consultant.ru/link/?req=doc&amp;base=RLAW358&amp;n=181725&amp;dst=100017" TargetMode="External"/><Relationship Id="rId97" Type="http://schemas.openxmlformats.org/officeDocument/2006/relationships/hyperlink" Target="https://login.consultant.ru/link/?req=doc&amp;base=RLAW358&amp;n=191966&amp;dst=100022" TargetMode="External"/><Relationship Id="rId104" Type="http://schemas.openxmlformats.org/officeDocument/2006/relationships/hyperlink" Target="https://login.consultant.ru/link/?req=doc&amp;base=RLAW358&amp;n=181725&amp;dst=100090" TargetMode="External"/><Relationship Id="rId120" Type="http://schemas.openxmlformats.org/officeDocument/2006/relationships/hyperlink" Target="https://login.consultant.ru/link/?req=doc&amp;base=RLAW358&amp;n=195315&amp;dst=100015" TargetMode="External"/><Relationship Id="rId125" Type="http://schemas.openxmlformats.org/officeDocument/2006/relationships/image" Target="media/image2.wmf"/><Relationship Id="rId141" Type="http://schemas.openxmlformats.org/officeDocument/2006/relationships/hyperlink" Target="https://login.consultant.ru/link/?req=doc&amp;base=LAW&amp;n=485612" TargetMode="External"/><Relationship Id="rId146" Type="http://schemas.openxmlformats.org/officeDocument/2006/relationships/hyperlink" Target="https://login.consultant.ru/link/?req=doc&amp;base=RLAW358&amp;n=195315&amp;dst=100025" TargetMode="External"/><Relationship Id="rId167" Type="http://schemas.openxmlformats.org/officeDocument/2006/relationships/hyperlink" Target="https://login.consultant.ru/link/?req=doc&amp;base=RLAW358&amp;n=191966&amp;dst=100129" TargetMode="External"/><Relationship Id="rId188" Type="http://schemas.openxmlformats.org/officeDocument/2006/relationships/hyperlink" Target="https://login.consultant.ru/link/?req=doc&amp;base=RLAW358&amp;n=191966&amp;dst=100144" TargetMode="External"/><Relationship Id="rId7" Type="http://schemas.openxmlformats.org/officeDocument/2006/relationships/hyperlink" Target="https://login.consultant.ru/link/?req=doc&amp;base=RLAW358&amp;n=81420&amp;dst=100005" TargetMode="External"/><Relationship Id="rId71" Type="http://schemas.openxmlformats.org/officeDocument/2006/relationships/hyperlink" Target="https://login.consultant.ru/link/?req=doc&amp;base=RLAW358&amp;n=162108&amp;dst=100010" TargetMode="External"/><Relationship Id="rId92" Type="http://schemas.openxmlformats.org/officeDocument/2006/relationships/hyperlink" Target="https://login.consultant.ru/link/?req=doc&amp;base=RLAW358&amp;n=191966&amp;dst=100018" TargetMode="External"/><Relationship Id="rId162" Type="http://schemas.openxmlformats.org/officeDocument/2006/relationships/hyperlink" Target="https://login.consultant.ru/link/?req=doc&amp;base=LAW&amp;n=539609&amp;dst=168245" TargetMode="External"/><Relationship Id="rId183" Type="http://schemas.openxmlformats.org/officeDocument/2006/relationships/hyperlink" Target="https://login.consultant.ru/link/?req=doc&amp;base=RLAW358&amp;n=191966&amp;dst=100142" TargetMode="External"/><Relationship Id="rId213" Type="http://schemas.openxmlformats.org/officeDocument/2006/relationships/hyperlink" Target="https://login.consultant.ru/link/?req=doc&amp;base=RLAW358&amp;n=193649&amp;dst=100145" TargetMode="External"/><Relationship Id="rId218" Type="http://schemas.openxmlformats.org/officeDocument/2006/relationships/hyperlink" Target="https://login.consultant.ru/link/?req=doc&amp;base=RLAW358&amp;n=195315&amp;dst=100025" TargetMode="External"/><Relationship Id="rId234" Type="http://schemas.openxmlformats.org/officeDocument/2006/relationships/hyperlink" Target="https://login.consultant.ru/link/?req=doc&amp;base=RLAW358&amp;n=197621&amp;dst=100009" TargetMode="External"/><Relationship Id="rId239" Type="http://schemas.openxmlformats.org/officeDocument/2006/relationships/hyperlink" Target="https://login.consultant.ru/link/?req=doc&amp;base=RLAW358&amp;n=195315&amp;dst=10026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18566&amp;dst=100005" TargetMode="External"/><Relationship Id="rId24" Type="http://schemas.openxmlformats.org/officeDocument/2006/relationships/hyperlink" Target="https://login.consultant.ru/link/?req=doc&amp;base=RLAW358&amp;n=112354&amp;dst=100005" TargetMode="External"/><Relationship Id="rId40" Type="http://schemas.openxmlformats.org/officeDocument/2006/relationships/hyperlink" Target="https://login.consultant.ru/link/?req=doc&amp;base=RLAW358&amp;n=155071&amp;dst=100005" TargetMode="External"/><Relationship Id="rId45" Type="http://schemas.openxmlformats.org/officeDocument/2006/relationships/hyperlink" Target="https://login.consultant.ru/link/?req=doc&amp;base=RLAW358&amp;n=171340&amp;dst=100005" TargetMode="External"/><Relationship Id="rId66" Type="http://schemas.openxmlformats.org/officeDocument/2006/relationships/hyperlink" Target="https://login.consultant.ru/link/?req=doc&amp;base=LAW&amp;n=319207" TargetMode="External"/><Relationship Id="rId87" Type="http://schemas.openxmlformats.org/officeDocument/2006/relationships/hyperlink" Target="https://login.consultant.ru/link/?req=doc&amp;base=LAW&amp;n=398015" TargetMode="External"/><Relationship Id="rId110" Type="http://schemas.openxmlformats.org/officeDocument/2006/relationships/hyperlink" Target="https://login.consultant.ru/link/?req=doc&amp;base=RLAW358&amp;n=195315&amp;dst=100012" TargetMode="External"/><Relationship Id="rId115" Type="http://schemas.openxmlformats.org/officeDocument/2006/relationships/hyperlink" Target="https://login.consultant.ru/link/?req=doc&amp;base=RLAW358&amp;n=191966&amp;dst=100067" TargetMode="External"/><Relationship Id="rId131" Type="http://schemas.openxmlformats.org/officeDocument/2006/relationships/hyperlink" Target="https://login.consultant.ru/link/?req=doc&amp;base=LAW&amp;n=539609&amp;dst=718" TargetMode="External"/><Relationship Id="rId136" Type="http://schemas.openxmlformats.org/officeDocument/2006/relationships/hyperlink" Target="https://login.consultant.ru/link/?req=doc&amp;base=RLAW358&amp;n=195315&amp;dst=100024" TargetMode="External"/><Relationship Id="rId157" Type="http://schemas.openxmlformats.org/officeDocument/2006/relationships/hyperlink" Target="https://login.consultant.ru/link/?req=doc&amp;base=RLAW358&amp;n=191966&amp;dst=100120" TargetMode="External"/><Relationship Id="rId178" Type="http://schemas.openxmlformats.org/officeDocument/2006/relationships/hyperlink" Target="https://login.consultant.ru/link/?req=doc&amp;base=RLAW358&amp;n=169985&amp;dst=121097" TargetMode="External"/><Relationship Id="rId61" Type="http://schemas.openxmlformats.org/officeDocument/2006/relationships/hyperlink" Target="https://login.consultant.ru/link/?req=doc&amp;base=RLAW358&amp;n=191966&amp;dst=100005" TargetMode="External"/><Relationship Id="rId82" Type="http://schemas.openxmlformats.org/officeDocument/2006/relationships/hyperlink" Target="https://login.consultant.ru/link/?req=doc&amp;base=RLAW358&amp;n=181725&amp;dst=100023" TargetMode="External"/><Relationship Id="rId152" Type="http://schemas.openxmlformats.org/officeDocument/2006/relationships/image" Target="media/image5.wmf"/><Relationship Id="rId173" Type="http://schemas.openxmlformats.org/officeDocument/2006/relationships/image" Target="media/image9.wmf"/><Relationship Id="rId194" Type="http://schemas.openxmlformats.org/officeDocument/2006/relationships/hyperlink" Target="https://login.consultant.ru/link/?req=doc&amp;base=LAW&amp;n=484542&amp;dst=100012" TargetMode="External"/><Relationship Id="rId199" Type="http://schemas.openxmlformats.org/officeDocument/2006/relationships/image" Target="media/image14.wmf"/><Relationship Id="rId203" Type="http://schemas.openxmlformats.org/officeDocument/2006/relationships/hyperlink" Target="https://login.consultant.ru/link/?req=doc&amp;base=RLAW358&amp;n=171340&amp;dst=107088" TargetMode="External"/><Relationship Id="rId208" Type="http://schemas.openxmlformats.org/officeDocument/2006/relationships/hyperlink" Target="https://login.consultant.ru/link/?req=doc&amp;base=LAW&amp;n=488668&amp;dst=100218" TargetMode="External"/><Relationship Id="rId229" Type="http://schemas.openxmlformats.org/officeDocument/2006/relationships/hyperlink" Target="https://login.consultant.ru/link/?req=doc&amp;base=RLAW358&amp;n=197621&amp;dst=100009" TargetMode="External"/><Relationship Id="rId19" Type="http://schemas.openxmlformats.org/officeDocument/2006/relationships/hyperlink" Target="https://login.consultant.ru/link/?req=doc&amp;base=RLAW358&amp;n=106678&amp;dst=100005" TargetMode="External"/><Relationship Id="rId224" Type="http://schemas.openxmlformats.org/officeDocument/2006/relationships/hyperlink" Target="https://login.consultant.ru/link/?req=doc&amp;base=RLAW358&amp;n=197621&amp;dst=100009" TargetMode="External"/><Relationship Id="rId240" Type="http://schemas.openxmlformats.org/officeDocument/2006/relationships/hyperlink" Target="https://login.consultant.ru/link/?req=doc&amp;base=LAW&amp;n=539609&amp;dst=1038" TargetMode="External"/><Relationship Id="rId14" Type="http://schemas.openxmlformats.org/officeDocument/2006/relationships/hyperlink" Target="https://login.consultant.ru/link/?req=doc&amp;base=RLAW358&amp;n=100877&amp;dst=100005" TargetMode="External"/><Relationship Id="rId30" Type="http://schemas.openxmlformats.org/officeDocument/2006/relationships/hyperlink" Target="https://login.consultant.ru/link/?req=doc&amp;base=RLAW358&amp;n=119554&amp;dst=100005" TargetMode="External"/><Relationship Id="rId35" Type="http://schemas.openxmlformats.org/officeDocument/2006/relationships/hyperlink" Target="https://login.consultant.ru/link/?req=doc&amp;base=RLAW358&amp;n=142247&amp;dst=100005" TargetMode="External"/><Relationship Id="rId56" Type="http://schemas.openxmlformats.org/officeDocument/2006/relationships/hyperlink" Target="https://login.consultant.ru/link/?req=doc&amp;base=RLAW358&amp;n=168933&amp;dst=100011" TargetMode="External"/><Relationship Id="rId77" Type="http://schemas.openxmlformats.org/officeDocument/2006/relationships/hyperlink" Target="https://login.consultant.ru/link/?req=doc&amp;base=RLAW358&amp;n=181725&amp;dst=100018" TargetMode="External"/><Relationship Id="rId100" Type="http://schemas.openxmlformats.org/officeDocument/2006/relationships/hyperlink" Target="https://login.consultant.ru/link/?req=doc&amp;base=RLAW358&amp;n=181725&amp;dst=100090" TargetMode="External"/><Relationship Id="rId105" Type="http://schemas.openxmlformats.org/officeDocument/2006/relationships/hyperlink" Target="https://login.consultant.ru/link/?req=doc&amp;base=RLAW358&amp;n=181725&amp;dst=100090" TargetMode="External"/><Relationship Id="rId126" Type="http://schemas.openxmlformats.org/officeDocument/2006/relationships/hyperlink" Target="https://login.consultant.ru/link/?req=doc&amp;base=RLAW358&amp;n=191966&amp;dst=100080" TargetMode="External"/><Relationship Id="rId147" Type="http://schemas.openxmlformats.org/officeDocument/2006/relationships/hyperlink" Target="https://login.consultant.ru/link/?req=doc&amp;base=RLAW358&amp;n=191966&amp;dst=100114" TargetMode="External"/><Relationship Id="rId168" Type="http://schemas.openxmlformats.org/officeDocument/2006/relationships/hyperlink" Target="https://login.consultant.ru/link/?req=doc&amp;base=RLAW358&amp;n=191966&amp;dst=100131" TargetMode="External"/><Relationship Id="rId8" Type="http://schemas.openxmlformats.org/officeDocument/2006/relationships/hyperlink" Target="https://login.consultant.ru/link/?req=doc&amp;base=RLAW358&amp;n=83172&amp;dst=100005" TargetMode="External"/><Relationship Id="rId51" Type="http://schemas.openxmlformats.org/officeDocument/2006/relationships/hyperlink" Target="https://login.consultant.ru/link/?req=doc&amp;base=RLAW358&amp;n=195315&amp;dst=100005" TargetMode="External"/><Relationship Id="rId72" Type="http://schemas.openxmlformats.org/officeDocument/2006/relationships/hyperlink" Target="https://login.consultant.ru/link/?req=doc&amp;base=RLAW358&amp;n=181725&amp;dst=100012" TargetMode="External"/><Relationship Id="rId93" Type="http://schemas.openxmlformats.org/officeDocument/2006/relationships/hyperlink" Target="https://login.consultant.ru/link/?req=doc&amp;base=RLAW358&amp;n=191966&amp;dst=100019" TargetMode="External"/><Relationship Id="rId98" Type="http://schemas.openxmlformats.org/officeDocument/2006/relationships/hyperlink" Target="https://login.consultant.ru/link/?req=doc&amp;base=LAW&amp;n=510266&amp;dst=100011" TargetMode="External"/><Relationship Id="rId121" Type="http://schemas.openxmlformats.org/officeDocument/2006/relationships/hyperlink" Target="https://login.consultant.ru/link/?req=doc&amp;base=RLAW358&amp;n=191966&amp;dst=100080" TargetMode="External"/><Relationship Id="rId142" Type="http://schemas.openxmlformats.org/officeDocument/2006/relationships/hyperlink" Target="https://login.consultant.ru/link/?req=doc&amp;base=RLAW358&amp;n=191966&amp;dst=100100" TargetMode="External"/><Relationship Id="rId163" Type="http://schemas.openxmlformats.org/officeDocument/2006/relationships/hyperlink" Target="https://login.consultant.ru/link/?req=doc&amp;base=LAW&amp;n=444764&amp;dst=100219" TargetMode="External"/><Relationship Id="rId184" Type="http://schemas.openxmlformats.org/officeDocument/2006/relationships/hyperlink" Target="https://login.consultant.ru/link/?req=doc&amp;base=RLAW358&amp;n=191966&amp;dst=100139" TargetMode="External"/><Relationship Id="rId189" Type="http://schemas.openxmlformats.org/officeDocument/2006/relationships/hyperlink" Target="https://login.consultant.ru/link/?req=doc&amp;base=RLAW358&amp;n=191966&amp;dst=100145" TargetMode="External"/><Relationship Id="rId219" Type="http://schemas.openxmlformats.org/officeDocument/2006/relationships/hyperlink" Target="https://login.consultant.ru/link/?req=doc&amp;base=RLAW358&amp;n=195315&amp;dst=100026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RLAW358&amp;n=197621&amp;dst=100009" TargetMode="External"/><Relationship Id="rId230" Type="http://schemas.openxmlformats.org/officeDocument/2006/relationships/hyperlink" Target="https://login.consultant.ru/link/?req=doc&amp;base=RLAW358&amp;n=197621&amp;dst=100009" TargetMode="External"/><Relationship Id="rId235" Type="http://schemas.openxmlformats.org/officeDocument/2006/relationships/hyperlink" Target="https://login.consultant.ru/link/?req=doc&amp;base=RLAW358&amp;n=197621&amp;dst=100009" TargetMode="External"/><Relationship Id="rId25" Type="http://schemas.openxmlformats.org/officeDocument/2006/relationships/hyperlink" Target="https://login.consultant.ru/link/?req=doc&amp;base=RLAW358&amp;n=114214&amp;dst=100005" TargetMode="External"/><Relationship Id="rId46" Type="http://schemas.openxmlformats.org/officeDocument/2006/relationships/hyperlink" Target="https://login.consultant.ru/link/?req=doc&amp;base=RLAW358&amp;n=181914&amp;dst=100005" TargetMode="External"/><Relationship Id="rId67" Type="http://schemas.openxmlformats.org/officeDocument/2006/relationships/hyperlink" Target="https://login.consultant.ru/link/?req=doc&amp;base=RLAW358&amp;n=191966&amp;dst=100011" TargetMode="External"/><Relationship Id="rId116" Type="http://schemas.openxmlformats.org/officeDocument/2006/relationships/hyperlink" Target="https://login.consultant.ru/link/?req=doc&amp;base=RLAW358&amp;n=191966&amp;dst=100068" TargetMode="External"/><Relationship Id="rId137" Type="http://schemas.openxmlformats.org/officeDocument/2006/relationships/hyperlink" Target="https://login.consultant.ru/link/?req=doc&amp;base=RLAW358&amp;n=191966&amp;dst=100090" TargetMode="External"/><Relationship Id="rId158" Type="http://schemas.openxmlformats.org/officeDocument/2006/relationships/hyperlink" Target="https://login.consultant.ru/link/?req=doc&amp;base=RLAW358&amp;n=191966&amp;dst=100123" TargetMode="External"/><Relationship Id="rId20" Type="http://schemas.openxmlformats.org/officeDocument/2006/relationships/hyperlink" Target="https://login.consultant.ru/link/?req=doc&amp;base=RLAW358&amp;n=107982&amp;dst=100005" TargetMode="External"/><Relationship Id="rId41" Type="http://schemas.openxmlformats.org/officeDocument/2006/relationships/hyperlink" Target="https://login.consultant.ru/link/?req=doc&amp;base=RLAW358&amp;n=159281&amp;dst=100005" TargetMode="External"/><Relationship Id="rId62" Type="http://schemas.openxmlformats.org/officeDocument/2006/relationships/hyperlink" Target="https://login.consultant.ru/link/?req=doc&amp;base=RLAW358&amp;n=193651&amp;dst=100005" TargetMode="External"/><Relationship Id="rId83" Type="http://schemas.openxmlformats.org/officeDocument/2006/relationships/hyperlink" Target="https://login.consultant.ru/link/?req=doc&amp;base=RLAW358&amp;n=181725&amp;dst=100031" TargetMode="External"/><Relationship Id="rId88" Type="http://schemas.openxmlformats.org/officeDocument/2006/relationships/hyperlink" Target="https://login.consultant.ru/link/?req=doc&amp;base=RLAW358&amp;n=196032&amp;dst=100015" TargetMode="External"/><Relationship Id="rId111" Type="http://schemas.openxmlformats.org/officeDocument/2006/relationships/hyperlink" Target="https://login.consultant.ru/link/?req=doc&amp;base=RLAW358&amp;n=191966&amp;dst=100052" TargetMode="External"/><Relationship Id="rId132" Type="http://schemas.openxmlformats.org/officeDocument/2006/relationships/hyperlink" Target="https://login.consultant.ru/link/?req=doc&amp;base=RLAW358&amp;n=191966&amp;dst=100081" TargetMode="External"/><Relationship Id="rId153" Type="http://schemas.openxmlformats.org/officeDocument/2006/relationships/image" Target="media/image6.wmf"/><Relationship Id="rId174" Type="http://schemas.openxmlformats.org/officeDocument/2006/relationships/image" Target="media/image10.wmf"/><Relationship Id="rId179" Type="http://schemas.openxmlformats.org/officeDocument/2006/relationships/hyperlink" Target="https://login.consultant.ru/link/?req=doc&amp;base=RLAW358&amp;n=191966&amp;dst=100138" TargetMode="External"/><Relationship Id="rId195" Type="http://schemas.openxmlformats.org/officeDocument/2006/relationships/hyperlink" Target="https://login.consultant.ru/link/?req=doc&amp;base=LAW&amp;n=540410&amp;dst=388" TargetMode="External"/><Relationship Id="rId209" Type="http://schemas.openxmlformats.org/officeDocument/2006/relationships/hyperlink" Target="https://login.consultant.ru/link/?req=doc&amp;base=RLAW358&amp;n=191966&amp;dst=100368" TargetMode="External"/><Relationship Id="rId190" Type="http://schemas.openxmlformats.org/officeDocument/2006/relationships/hyperlink" Target="https://login.consultant.ru/link/?req=doc&amp;base=RLAW358&amp;n=191966&amp;dst=100139" TargetMode="External"/><Relationship Id="rId204" Type="http://schemas.openxmlformats.org/officeDocument/2006/relationships/hyperlink" Target="https://login.consultant.ru/link/?req=doc&amp;base=RLAW358&amp;n=191966&amp;dst=100365" TargetMode="External"/><Relationship Id="rId220" Type="http://schemas.openxmlformats.org/officeDocument/2006/relationships/hyperlink" Target="https://login.consultant.ru/link/?req=doc&amp;base=LAW&amp;n=539609&amp;dst=1038" TargetMode="External"/><Relationship Id="rId225" Type="http://schemas.openxmlformats.org/officeDocument/2006/relationships/hyperlink" Target="https://login.consultant.ru/link/?req=doc&amp;base=RLAW358&amp;n=197621&amp;dst=100009" TargetMode="External"/><Relationship Id="rId241" Type="http://schemas.openxmlformats.org/officeDocument/2006/relationships/hyperlink" Target="https://login.consultant.ru/link/?req=doc&amp;base=LAW&amp;n=540410&amp;dst=100044" TargetMode="External"/><Relationship Id="rId15" Type="http://schemas.openxmlformats.org/officeDocument/2006/relationships/hyperlink" Target="https://login.consultant.ru/link/?req=doc&amp;base=RLAW358&amp;n=101453&amp;dst=100005" TargetMode="External"/><Relationship Id="rId36" Type="http://schemas.openxmlformats.org/officeDocument/2006/relationships/hyperlink" Target="https://login.consultant.ru/link/?req=doc&amp;base=RLAW358&amp;n=143714&amp;dst=100005" TargetMode="External"/><Relationship Id="rId57" Type="http://schemas.openxmlformats.org/officeDocument/2006/relationships/hyperlink" Target="https://login.consultant.ru/link/?req=doc&amp;base=RLAW358&amp;n=169985&amp;dst=100005" TargetMode="External"/><Relationship Id="rId106" Type="http://schemas.openxmlformats.org/officeDocument/2006/relationships/hyperlink" Target="https://login.consultant.ru/link/?req=doc&amp;base=RLAW358&amp;n=181725&amp;dst=100090" TargetMode="External"/><Relationship Id="rId127" Type="http://schemas.openxmlformats.org/officeDocument/2006/relationships/image" Target="media/image3.wmf"/><Relationship Id="rId10" Type="http://schemas.openxmlformats.org/officeDocument/2006/relationships/hyperlink" Target="https://login.consultant.ru/link/?req=doc&amp;base=RLAW358&amp;n=91124&amp;dst=100005" TargetMode="External"/><Relationship Id="rId31" Type="http://schemas.openxmlformats.org/officeDocument/2006/relationships/hyperlink" Target="https://login.consultant.ru/link/?req=doc&amp;base=RLAW358&amp;n=120863&amp;dst=100005" TargetMode="External"/><Relationship Id="rId52" Type="http://schemas.openxmlformats.org/officeDocument/2006/relationships/hyperlink" Target="https://login.consultant.ru/link/?req=doc&amp;base=RLAW358&amp;n=197621&amp;dst=100008" TargetMode="External"/><Relationship Id="rId73" Type="http://schemas.openxmlformats.org/officeDocument/2006/relationships/hyperlink" Target="https://login.consultant.ru/link/?req=doc&amp;base=RLAW358&amp;n=181725&amp;dst=100014" TargetMode="External"/><Relationship Id="rId78" Type="http://schemas.openxmlformats.org/officeDocument/2006/relationships/hyperlink" Target="https://login.consultant.ru/link/?req=doc&amp;base=RLAW358&amp;n=181725&amp;dst=100019" TargetMode="External"/><Relationship Id="rId94" Type="http://schemas.openxmlformats.org/officeDocument/2006/relationships/hyperlink" Target="https://login.consultant.ru/link/?req=doc&amp;base=RLAW358&amp;n=193651&amp;dst=100012" TargetMode="External"/><Relationship Id="rId99" Type="http://schemas.openxmlformats.org/officeDocument/2006/relationships/hyperlink" Target="https://login.consultant.ru/link/?req=doc&amp;base=RLAW358&amp;n=181725&amp;dst=100089" TargetMode="External"/><Relationship Id="rId101" Type="http://schemas.openxmlformats.org/officeDocument/2006/relationships/hyperlink" Target="https://login.consultant.ru/link/?req=doc&amp;base=RLAW358&amp;n=181725&amp;dst=100090" TargetMode="External"/><Relationship Id="rId122" Type="http://schemas.openxmlformats.org/officeDocument/2006/relationships/image" Target="media/image1.wmf"/><Relationship Id="rId143" Type="http://schemas.openxmlformats.org/officeDocument/2006/relationships/hyperlink" Target="https://login.consultant.ru/link/?req=doc&amp;base=RLAW358&amp;n=191966&amp;dst=100098" TargetMode="External"/><Relationship Id="rId148" Type="http://schemas.openxmlformats.org/officeDocument/2006/relationships/hyperlink" Target="https://login.consultant.ru/link/?req=doc&amp;base=RLAW358&amp;n=191966&amp;dst=100118" TargetMode="External"/><Relationship Id="rId164" Type="http://schemas.openxmlformats.org/officeDocument/2006/relationships/hyperlink" Target="https://login.consultant.ru/link/?req=doc&amp;base=LAW&amp;n=539609&amp;dst=168297" TargetMode="External"/><Relationship Id="rId169" Type="http://schemas.openxmlformats.org/officeDocument/2006/relationships/hyperlink" Target="https://login.consultant.ru/link/?req=doc&amp;base=LAW&amp;n=511724&amp;dst=103626" TargetMode="External"/><Relationship Id="rId185" Type="http://schemas.openxmlformats.org/officeDocument/2006/relationships/image" Target="media/image11.wmf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85857&amp;dst=100005" TargetMode="External"/><Relationship Id="rId180" Type="http://schemas.openxmlformats.org/officeDocument/2006/relationships/hyperlink" Target="https://login.consultant.ru/link/?req=doc&amp;base=RLAW358&amp;n=169985&amp;dst=121098" TargetMode="External"/><Relationship Id="rId210" Type="http://schemas.openxmlformats.org/officeDocument/2006/relationships/hyperlink" Target="https://login.consultant.ru/link/?req=doc&amp;base=RLAW358&amp;n=191966&amp;dst=100369" TargetMode="External"/><Relationship Id="rId215" Type="http://schemas.openxmlformats.org/officeDocument/2006/relationships/hyperlink" Target="https://login.consultant.ru/link/?req=doc&amp;base=RLAW358&amp;n=197621&amp;dst=100009" TargetMode="External"/><Relationship Id="rId236" Type="http://schemas.openxmlformats.org/officeDocument/2006/relationships/hyperlink" Target="https://login.consultant.ru/link/?req=doc&amp;base=RLAW358&amp;n=195315&amp;dst=100204" TargetMode="External"/><Relationship Id="rId26" Type="http://schemas.openxmlformats.org/officeDocument/2006/relationships/hyperlink" Target="https://login.consultant.ru/link/?req=doc&amp;base=RLAW358&amp;n=115791&amp;dst=100005" TargetMode="External"/><Relationship Id="rId231" Type="http://schemas.openxmlformats.org/officeDocument/2006/relationships/hyperlink" Target="https://login.consultant.ru/link/?req=doc&amp;base=RLAW358&amp;n=197621&amp;dst=100009" TargetMode="External"/><Relationship Id="rId47" Type="http://schemas.openxmlformats.org/officeDocument/2006/relationships/hyperlink" Target="https://login.consultant.ru/link/?req=doc&amp;base=RLAW358&amp;n=181725&amp;dst=100005" TargetMode="External"/><Relationship Id="rId68" Type="http://schemas.openxmlformats.org/officeDocument/2006/relationships/hyperlink" Target="https://login.consultant.ru/link/?req=doc&amp;base=RLAW358&amp;n=191966&amp;dst=100013" TargetMode="External"/><Relationship Id="rId89" Type="http://schemas.openxmlformats.org/officeDocument/2006/relationships/hyperlink" Target="https://login.consultant.ru/link/?req=doc&amp;base=LAW&amp;n=539609&amp;dst=1038" TargetMode="External"/><Relationship Id="rId112" Type="http://schemas.openxmlformats.org/officeDocument/2006/relationships/hyperlink" Target="https://login.consultant.ru/link/?req=doc&amp;base=LAW&amp;n=540410&amp;dst=388" TargetMode="External"/><Relationship Id="rId133" Type="http://schemas.openxmlformats.org/officeDocument/2006/relationships/hyperlink" Target="https://login.consultant.ru/link/?req=doc&amp;base=RLAW358&amp;n=195315&amp;dst=100014" TargetMode="External"/><Relationship Id="rId154" Type="http://schemas.openxmlformats.org/officeDocument/2006/relationships/image" Target="media/image7.wmf"/><Relationship Id="rId175" Type="http://schemas.openxmlformats.org/officeDocument/2006/relationships/hyperlink" Target="https://login.consultant.ru/link/?req=doc&amp;base=LAW&amp;n=501336" TargetMode="External"/><Relationship Id="rId196" Type="http://schemas.openxmlformats.org/officeDocument/2006/relationships/hyperlink" Target="https://login.consultant.ru/link/?req=doc&amp;base=RLAW358&amp;n=191966&amp;dst=100182" TargetMode="External"/><Relationship Id="rId200" Type="http://schemas.openxmlformats.org/officeDocument/2006/relationships/hyperlink" Target="https://login.consultant.ru/link/?req=doc&amp;base=RLAW358&amp;n=195315&amp;dst=100025" TargetMode="External"/><Relationship Id="rId16" Type="http://schemas.openxmlformats.org/officeDocument/2006/relationships/hyperlink" Target="https://login.consultant.ru/link/?req=doc&amp;base=RLAW358&amp;n=101718&amp;dst=100005" TargetMode="External"/><Relationship Id="rId221" Type="http://schemas.openxmlformats.org/officeDocument/2006/relationships/hyperlink" Target="https://login.consultant.ru/link/?req=doc&amp;base=LAW&amp;n=540410&amp;dst=100044" TargetMode="External"/><Relationship Id="rId242" Type="http://schemas.openxmlformats.org/officeDocument/2006/relationships/hyperlink" Target="https://login.consultant.ru/link/?req=doc&amp;base=RLAW358&amp;n=189218&amp;dst=3" TargetMode="External"/><Relationship Id="rId37" Type="http://schemas.openxmlformats.org/officeDocument/2006/relationships/hyperlink" Target="https://login.consultant.ru/link/?req=doc&amp;base=RLAW358&amp;n=146734&amp;dst=100005" TargetMode="External"/><Relationship Id="rId58" Type="http://schemas.openxmlformats.org/officeDocument/2006/relationships/hyperlink" Target="https://login.consultant.ru/link/?req=doc&amp;base=RLAW358&amp;n=171340&amp;dst=100005" TargetMode="External"/><Relationship Id="rId79" Type="http://schemas.openxmlformats.org/officeDocument/2006/relationships/hyperlink" Target="https://login.consultant.ru/link/?req=doc&amp;base=RLAW358&amp;n=181725&amp;dst=100020" TargetMode="External"/><Relationship Id="rId102" Type="http://schemas.openxmlformats.org/officeDocument/2006/relationships/hyperlink" Target="https://login.consultant.ru/link/?req=doc&amp;base=RLAW358&amp;n=181725&amp;dst=100090" TargetMode="External"/><Relationship Id="rId123" Type="http://schemas.openxmlformats.org/officeDocument/2006/relationships/hyperlink" Target="https://login.consultant.ru/link/?req=doc&amp;base=RLAW358&amp;n=191966&amp;dst=100080" TargetMode="External"/><Relationship Id="rId144" Type="http://schemas.openxmlformats.org/officeDocument/2006/relationships/hyperlink" Target="https://login.consultant.ru/link/?req=doc&amp;base=RLAW358&amp;n=191966&amp;dst=100101" TargetMode="External"/><Relationship Id="rId90" Type="http://schemas.openxmlformats.org/officeDocument/2006/relationships/hyperlink" Target="https://login.consultant.ru/link/?req=doc&amp;base=RLAW358&amp;n=191966&amp;dst=100015" TargetMode="External"/><Relationship Id="rId165" Type="http://schemas.openxmlformats.org/officeDocument/2006/relationships/hyperlink" Target="https://login.consultant.ru/link/?req=doc&amp;base=LAW&amp;n=539609&amp;dst=168245" TargetMode="External"/><Relationship Id="rId186" Type="http://schemas.openxmlformats.org/officeDocument/2006/relationships/image" Target="media/image12.wmf"/><Relationship Id="rId211" Type="http://schemas.openxmlformats.org/officeDocument/2006/relationships/hyperlink" Target="https://login.consultant.ru/link/?req=doc&amp;base=LAW&amp;n=511724&amp;dst=103626" TargetMode="External"/><Relationship Id="rId232" Type="http://schemas.openxmlformats.org/officeDocument/2006/relationships/hyperlink" Target="https://login.consultant.ru/link/?req=doc&amp;base=RLAW358&amp;n=189218&amp;dst=3" TargetMode="External"/><Relationship Id="rId27" Type="http://schemas.openxmlformats.org/officeDocument/2006/relationships/hyperlink" Target="https://login.consultant.ru/link/?req=doc&amp;base=RLAW358&amp;n=117522&amp;dst=100005" TargetMode="External"/><Relationship Id="rId48" Type="http://schemas.openxmlformats.org/officeDocument/2006/relationships/hyperlink" Target="https://login.consultant.ru/link/?req=doc&amp;base=RLAW358&amp;n=191966&amp;dst=100005" TargetMode="External"/><Relationship Id="rId69" Type="http://schemas.openxmlformats.org/officeDocument/2006/relationships/hyperlink" Target="http://&#1082;&#1091;&#1083;&#1100;&#1090;&#1091;&#1088;&#1072;.&#1088;&#1092;/" TargetMode="External"/><Relationship Id="rId113" Type="http://schemas.openxmlformats.org/officeDocument/2006/relationships/hyperlink" Target="https://login.consultant.ru/link/?req=doc&amp;base=RLAW358&amp;n=195315&amp;dst=100013" TargetMode="External"/><Relationship Id="rId134" Type="http://schemas.openxmlformats.org/officeDocument/2006/relationships/hyperlink" Target="https://login.consultant.ru/link/?req=doc&amp;base=RLAW358&amp;n=191966&amp;dst=100089" TargetMode="External"/><Relationship Id="rId80" Type="http://schemas.openxmlformats.org/officeDocument/2006/relationships/hyperlink" Target="https://login.consultant.ru/link/?req=doc&amp;base=RLAW358&amp;n=181725&amp;dst=100021" TargetMode="External"/><Relationship Id="rId155" Type="http://schemas.openxmlformats.org/officeDocument/2006/relationships/image" Target="media/image8.wmf"/><Relationship Id="rId176" Type="http://schemas.openxmlformats.org/officeDocument/2006/relationships/hyperlink" Target="https://login.consultant.ru/link/?req=doc&amp;base=RLAW358&amp;n=191966&amp;dst=100128" TargetMode="External"/><Relationship Id="rId197" Type="http://schemas.openxmlformats.org/officeDocument/2006/relationships/hyperlink" Target="https://login.consultant.ru/link/?req=doc&amp;base=LAW&amp;n=539609&amp;dst=32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126</Pages>
  <Words>32742</Words>
  <Characters>186630</Characters>
  <Application>Microsoft Office Word</Application>
  <DocSecurity>0</DocSecurity>
  <Lines>1555</Lines>
  <Paragraphs>437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2026-08-04T11:19:00Z</dcterms:created>
  <dcterms:modified xsi:type="dcterms:W3CDTF">2026-08-04T11:20:00Z</dcterms:modified>
</cp:coreProperties>
</file>