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9A7" w:rsidRPr="004760FC" w:rsidRDefault="001609A7" w:rsidP="001609A7">
      <w:pPr>
        <w:jc w:val="center"/>
        <w:rPr>
          <w:b/>
          <w:szCs w:val="28"/>
        </w:rPr>
      </w:pPr>
      <w:r w:rsidRPr="004760FC">
        <w:rPr>
          <w:b/>
          <w:szCs w:val="28"/>
        </w:rPr>
        <w:t xml:space="preserve">Пояснительная записка </w:t>
      </w:r>
    </w:p>
    <w:p w:rsidR="001609A7" w:rsidRPr="004760FC" w:rsidRDefault="001609A7" w:rsidP="001609A7">
      <w:pPr>
        <w:jc w:val="center"/>
        <w:rPr>
          <w:b/>
          <w:spacing w:val="-6"/>
          <w:szCs w:val="28"/>
        </w:rPr>
      </w:pPr>
      <w:r w:rsidRPr="004760FC">
        <w:rPr>
          <w:b/>
          <w:spacing w:val="-6"/>
          <w:szCs w:val="28"/>
        </w:rPr>
        <w:t xml:space="preserve">к проекту закона Саратовской области </w:t>
      </w:r>
    </w:p>
    <w:p w:rsidR="001609A7" w:rsidRPr="004760FC" w:rsidRDefault="001609A7" w:rsidP="001609A7">
      <w:pPr>
        <w:jc w:val="center"/>
        <w:rPr>
          <w:b/>
          <w:spacing w:val="-6"/>
          <w:szCs w:val="28"/>
        </w:rPr>
      </w:pPr>
      <w:r w:rsidRPr="004760FC">
        <w:rPr>
          <w:b/>
          <w:spacing w:val="-6"/>
          <w:szCs w:val="28"/>
        </w:rPr>
        <w:t xml:space="preserve">«Об областном бюджете на 2020 год и на плановый период 2021 и 2022 годов» </w:t>
      </w:r>
    </w:p>
    <w:p w:rsidR="00F57589" w:rsidRPr="00060832" w:rsidRDefault="00F57589" w:rsidP="00F57589">
      <w:pPr>
        <w:ind w:firstLine="709"/>
        <w:jc w:val="both"/>
        <w:rPr>
          <w:szCs w:val="28"/>
        </w:rPr>
      </w:pPr>
    </w:p>
    <w:p w:rsidR="00F57589" w:rsidRPr="00060832" w:rsidRDefault="00F57589" w:rsidP="00F57589">
      <w:pPr>
        <w:ind w:firstLine="709"/>
        <w:jc w:val="both"/>
        <w:rPr>
          <w:szCs w:val="28"/>
        </w:rPr>
      </w:pPr>
      <w:r w:rsidRPr="00060832">
        <w:rPr>
          <w:szCs w:val="28"/>
        </w:rPr>
        <w:t>Проект закона Саратовской области «Об областном бюджете на 20</w:t>
      </w:r>
      <w:r w:rsidR="001609A7">
        <w:rPr>
          <w:szCs w:val="28"/>
        </w:rPr>
        <w:t>20</w:t>
      </w:r>
      <w:r w:rsidRPr="00060832">
        <w:rPr>
          <w:szCs w:val="28"/>
        </w:rPr>
        <w:t xml:space="preserve"> год и на плановый период 202</w:t>
      </w:r>
      <w:r w:rsidR="001609A7">
        <w:rPr>
          <w:szCs w:val="28"/>
        </w:rPr>
        <w:t>1</w:t>
      </w:r>
      <w:r w:rsidRPr="00060832">
        <w:rPr>
          <w:szCs w:val="28"/>
        </w:rPr>
        <w:t xml:space="preserve"> и 202</w:t>
      </w:r>
      <w:r w:rsidR="001609A7">
        <w:rPr>
          <w:szCs w:val="28"/>
        </w:rPr>
        <w:t>2</w:t>
      </w:r>
      <w:r w:rsidRPr="00060832">
        <w:rPr>
          <w:szCs w:val="28"/>
        </w:rPr>
        <w:t xml:space="preserve"> годов» разработан в соответствии с Бюджетным кодексом Российской Федерации и Законом Саратовской области «О бюджетном процессе в Саратовской области»</w:t>
      </w:r>
      <w:r w:rsidR="001609A7">
        <w:rPr>
          <w:szCs w:val="28"/>
        </w:rPr>
        <w:t xml:space="preserve"> (с учетом планируемых изменений)</w:t>
      </w:r>
      <w:r w:rsidRPr="00060832">
        <w:rPr>
          <w:szCs w:val="28"/>
        </w:rPr>
        <w:t>.</w:t>
      </w:r>
    </w:p>
    <w:p w:rsidR="005B758C" w:rsidRPr="00060832" w:rsidRDefault="005B758C" w:rsidP="001609A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Бюджетные проектировки на 20</w:t>
      </w:r>
      <w:r w:rsidR="001609A7">
        <w:rPr>
          <w:szCs w:val="28"/>
        </w:rPr>
        <w:t>20</w:t>
      </w:r>
      <w:r>
        <w:rPr>
          <w:szCs w:val="28"/>
        </w:rPr>
        <w:t>-202</w:t>
      </w:r>
      <w:r w:rsidR="001609A7">
        <w:rPr>
          <w:szCs w:val="28"/>
        </w:rPr>
        <w:t>2</w:t>
      </w:r>
      <w:r w:rsidR="00C867B3">
        <w:rPr>
          <w:szCs w:val="28"/>
        </w:rPr>
        <w:t xml:space="preserve"> </w:t>
      </w:r>
      <w:r>
        <w:rPr>
          <w:szCs w:val="28"/>
        </w:rPr>
        <w:t xml:space="preserve">годы сформированы на основе </w:t>
      </w:r>
      <w:r w:rsidRPr="005B758C">
        <w:rPr>
          <w:szCs w:val="28"/>
        </w:rPr>
        <w:t>прогноза  о</w:t>
      </w:r>
      <w:r>
        <w:rPr>
          <w:szCs w:val="28"/>
        </w:rPr>
        <w:t xml:space="preserve">сновных  показателей  социально-экономического  развития </w:t>
      </w:r>
      <w:r w:rsidRPr="005B758C">
        <w:rPr>
          <w:szCs w:val="28"/>
        </w:rPr>
        <w:t>области, проекта федерального закон</w:t>
      </w:r>
      <w:r>
        <w:rPr>
          <w:szCs w:val="28"/>
        </w:rPr>
        <w:t>а «О федеральном бюджете на 20</w:t>
      </w:r>
      <w:r w:rsidR="001609A7">
        <w:rPr>
          <w:szCs w:val="28"/>
        </w:rPr>
        <w:t>20</w:t>
      </w:r>
      <w:r>
        <w:rPr>
          <w:szCs w:val="28"/>
        </w:rPr>
        <w:t xml:space="preserve"> </w:t>
      </w:r>
      <w:r w:rsidRPr="005B758C">
        <w:rPr>
          <w:szCs w:val="28"/>
        </w:rPr>
        <w:t xml:space="preserve">год </w:t>
      </w:r>
      <w:r>
        <w:rPr>
          <w:szCs w:val="28"/>
        </w:rPr>
        <w:t>и  на  плановый  период  202</w:t>
      </w:r>
      <w:r w:rsidR="001609A7">
        <w:rPr>
          <w:szCs w:val="28"/>
        </w:rPr>
        <w:t>1 и  2022</w:t>
      </w:r>
      <w:r>
        <w:rPr>
          <w:szCs w:val="28"/>
        </w:rPr>
        <w:t xml:space="preserve"> годов», основных  направлений бюджетной, налоговой и  таможенно-тарифной политики Российской Федерации на 20</w:t>
      </w:r>
      <w:r w:rsidR="001609A7">
        <w:rPr>
          <w:szCs w:val="28"/>
        </w:rPr>
        <w:t>20</w:t>
      </w:r>
      <w:r>
        <w:rPr>
          <w:szCs w:val="28"/>
        </w:rPr>
        <w:t xml:space="preserve"> </w:t>
      </w:r>
      <w:r w:rsidRPr="005B758C">
        <w:rPr>
          <w:szCs w:val="28"/>
        </w:rPr>
        <w:t>год и на плановый пе</w:t>
      </w:r>
      <w:r>
        <w:rPr>
          <w:szCs w:val="28"/>
        </w:rPr>
        <w:t>риод 202</w:t>
      </w:r>
      <w:r w:rsidR="001609A7">
        <w:rPr>
          <w:szCs w:val="28"/>
        </w:rPr>
        <w:t xml:space="preserve">1 и 2022 </w:t>
      </w:r>
      <w:r>
        <w:rPr>
          <w:szCs w:val="28"/>
        </w:rPr>
        <w:t xml:space="preserve">годов, а также с учетом ограничений, установленных </w:t>
      </w:r>
      <w:r w:rsidR="001609A7">
        <w:rPr>
          <w:szCs w:val="28"/>
        </w:rPr>
        <w:t>бюджетным законодательством.</w:t>
      </w:r>
      <w:proofErr w:type="gramEnd"/>
    </w:p>
    <w:p w:rsidR="00F57589" w:rsidRPr="00E018CD" w:rsidRDefault="00E018CD" w:rsidP="00E018CD">
      <w:pPr>
        <w:ind w:firstLine="709"/>
        <w:jc w:val="both"/>
        <w:rPr>
          <w:szCs w:val="28"/>
        </w:rPr>
      </w:pPr>
      <w:r w:rsidRPr="00E018CD">
        <w:rPr>
          <w:szCs w:val="28"/>
        </w:rPr>
        <w:t>Н</w:t>
      </w:r>
      <w:r>
        <w:rPr>
          <w:szCs w:val="28"/>
        </w:rPr>
        <w:t xml:space="preserve">а  весь  трехлетний  период обеспечена социальная  направленность бюджетных расходов – </w:t>
      </w:r>
      <w:r w:rsidRPr="00E018CD">
        <w:rPr>
          <w:szCs w:val="28"/>
        </w:rPr>
        <w:t>удельный вес расход</w:t>
      </w:r>
      <w:r>
        <w:rPr>
          <w:szCs w:val="28"/>
        </w:rPr>
        <w:t>ов на социальную сферу в общем объеме расходов областного бюджета составляет более 6</w:t>
      </w:r>
      <w:r w:rsidR="001609A7">
        <w:rPr>
          <w:szCs w:val="28"/>
        </w:rPr>
        <w:t>9,0</w:t>
      </w:r>
      <w:r w:rsidRPr="00E018CD">
        <w:rPr>
          <w:szCs w:val="28"/>
        </w:rPr>
        <w:t>%.</w:t>
      </w:r>
    </w:p>
    <w:p w:rsidR="00F57589" w:rsidRDefault="00F57589" w:rsidP="00F575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60832">
        <w:rPr>
          <w:szCs w:val="28"/>
        </w:rPr>
        <w:t xml:space="preserve">Расходы на оплату труда </w:t>
      </w:r>
      <w:r w:rsidR="00E018CD">
        <w:rPr>
          <w:szCs w:val="28"/>
        </w:rPr>
        <w:t>предусмотрены</w:t>
      </w:r>
      <w:r w:rsidRPr="00060832">
        <w:rPr>
          <w:szCs w:val="28"/>
        </w:rPr>
        <w:t>:</w:t>
      </w:r>
    </w:p>
    <w:p w:rsidR="00F57589" w:rsidRDefault="001609A7" w:rsidP="001609A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proofErr w:type="gramStart"/>
      <w:r>
        <w:rPr>
          <w:szCs w:val="28"/>
        </w:rPr>
        <w:t>при условии сохранения в 2020 году повышенной с 1 октября 2019 г</w:t>
      </w:r>
      <w:r w:rsidR="00C3030B">
        <w:rPr>
          <w:szCs w:val="28"/>
        </w:rPr>
        <w:t>ода средней заработной платы по</w:t>
      </w:r>
      <w:r>
        <w:rPr>
          <w:szCs w:val="28"/>
        </w:rPr>
        <w:t xml:space="preserve"> отдельным категориям работников бюджетной сферы, установленных</w:t>
      </w:r>
      <w:r w:rsidR="00E018CD">
        <w:t xml:space="preserve"> Указ</w:t>
      </w:r>
      <w:r>
        <w:t>ами</w:t>
      </w:r>
      <w:r w:rsidR="00E018CD">
        <w:rPr>
          <w:rFonts w:eastAsia="Calibri"/>
          <w:lang w:eastAsia="en-US"/>
        </w:rPr>
        <w:t xml:space="preserve"> </w:t>
      </w:r>
      <w:r w:rsidR="00F57589" w:rsidRPr="00060832">
        <w:rPr>
          <w:rFonts w:eastAsia="Calibri"/>
          <w:lang w:eastAsia="en-US"/>
        </w:rPr>
        <w:t>Президента Российской Федерации от 7 мая 2012 года № 597</w:t>
      </w:r>
      <w:r>
        <w:rPr>
          <w:rFonts w:eastAsia="Calibri"/>
          <w:lang w:eastAsia="en-US"/>
        </w:rPr>
        <w:t xml:space="preserve">, 1 июня 2012 года № 761 </w:t>
      </w:r>
      <w:r w:rsidR="00F57589" w:rsidRPr="00060832">
        <w:rPr>
          <w:rFonts w:eastAsia="Calibri"/>
          <w:lang w:eastAsia="en-US"/>
        </w:rPr>
        <w:t xml:space="preserve">и 28 декабря 2012 года № 1688 </w:t>
      </w:r>
      <w:r>
        <w:rPr>
          <w:rFonts w:eastAsia="Calibri"/>
          <w:lang w:eastAsia="en-US"/>
        </w:rPr>
        <w:t xml:space="preserve"> (далее – Указы), с учетом работающих в системе обязательного медицинского страхования:</w:t>
      </w:r>
      <w:proofErr w:type="gramEnd"/>
    </w:p>
    <w:p w:rsidR="001609A7" w:rsidRPr="001609A7" w:rsidRDefault="001609A7" w:rsidP="001609A7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>а) </w:t>
      </w:r>
      <w:r w:rsidRPr="001609A7">
        <w:rPr>
          <w:spacing w:val="-4"/>
          <w:szCs w:val="28"/>
        </w:rPr>
        <w:t>по педагогическим работникам образовательных учреждений общего образования, преподавателям и мастерам производственного обучения образовательных учреждений начального и среднего профессионального образования, педагогическим работникам, оказывающим социальные услуги детям-сиротам и детям, оставшимся без попечения родителей, работникам учреждений культуры, социальным работникам, среднему и младшему медицинскому персоналу – до 28 100 рублей</w:t>
      </w:r>
      <w:r w:rsidRPr="001609A7">
        <w:rPr>
          <w:szCs w:val="28"/>
        </w:rPr>
        <w:t xml:space="preserve"> в месяц;</w:t>
      </w:r>
    </w:p>
    <w:p w:rsidR="001609A7" w:rsidRPr="001609A7" w:rsidRDefault="001609A7" w:rsidP="001609A7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>б) по педагогическим работникам дошкольных образовательных учреждений – до 25 800 рублей в месяц;</w:t>
      </w:r>
    </w:p>
    <w:p w:rsidR="001609A7" w:rsidRPr="001609A7" w:rsidRDefault="001609A7" w:rsidP="001609A7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>в) по педагогическим работникам организаций дополнительного образования детей – до 28 600 рублей в месяц;</w:t>
      </w:r>
    </w:p>
    <w:p w:rsidR="001609A7" w:rsidRPr="001609A7" w:rsidRDefault="001609A7" w:rsidP="001609A7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>г) по врачам и работникам медицинских организаций, имеющих высшее медицинское (фармацевтическое) образование, предоставляющих медицинские услуги, – до 56 200 рублей в месяц;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 xml:space="preserve">по остальным категориям работников бюджетной сферы и органов управления </w:t>
      </w:r>
      <w:r>
        <w:rPr>
          <w:szCs w:val="28"/>
        </w:rPr>
        <w:t>(за исключением категорий работников, установленных Указами):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>а) </w:t>
      </w:r>
      <w:r>
        <w:rPr>
          <w:szCs w:val="28"/>
        </w:rPr>
        <w:t>с учетом</w:t>
      </w:r>
      <w:r w:rsidRPr="001609A7">
        <w:rPr>
          <w:szCs w:val="28"/>
        </w:rPr>
        <w:t xml:space="preserve"> дополнительного повышения оплаты труда с 1 октября 2019 года на 5</w:t>
      </w:r>
      <w:r>
        <w:rPr>
          <w:szCs w:val="28"/>
        </w:rPr>
        <w:t>,0</w:t>
      </w:r>
      <w:r w:rsidRPr="001609A7">
        <w:rPr>
          <w:szCs w:val="28"/>
        </w:rPr>
        <w:t>%;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 xml:space="preserve">б) увеличения с 1 января 2020 года минимального </w:t>
      </w:r>
      <w:proofErr w:type="gramStart"/>
      <w:r w:rsidRPr="001609A7">
        <w:rPr>
          <w:szCs w:val="28"/>
        </w:rPr>
        <w:t>размера оплаты труда</w:t>
      </w:r>
      <w:proofErr w:type="gramEnd"/>
      <w:r>
        <w:rPr>
          <w:szCs w:val="28"/>
        </w:rPr>
        <w:t xml:space="preserve"> (МРОТ)</w:t>
      </w:r>
      <w:r w:rsidRPr="001609A7">
        <w:rPr>
          <w:szCs w:val="28"/>
        </w:rPr>
        <w:t xml:space="preserve"> до 12 130 рублей;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lastRenderedPageBreak/>
        <w:t>в) индексации на прогнозный уровень инфляции: с 1 октября 2020 года на 3,6%, с 1 октября 202</w:t>
      </w:r>
      <w:r>
        <w:rPr>
          <w:szCs w:val="28"/>
        </w:rPr>
        <w:t>1</w:t>
      </w:r>
      <w:r w:rsidRPr="001609A7">
        <w:rPr>
          <w:szCs w:val="28"/>
        </w:rPr>
        <w:t xml:space="preserve"> года </w:t>
      </w:r>
      <w:r>
        <w:rPr>
          <w:szCs w:val="28"/>
        </w:rPr>
        <w:t>на</w:t>
      </w:r>
      <w:r w:rsidRPr="001609A7">
        <w:rPr>
          <w:szCs w:val="28"/>
        </w:rPr>
        <w:t xml:space="preserve"> 3,7</w:t>
      </w:r>
      <w:r>
        <w:rPr>
          <w:szCs w:val="28"/>
        </w:rPr>
        <w:t xml:space="preserve">%, </w:t>
      </w:r>
      <w:r w:rsidRPr="001609A7">
        <w:rPr>
          <w:szCs w:val="28"/>
        </w:rPr>
        <w:t>с 1 октября 202</w:t>
      </w:r>
      <w:r>
        <w:rPr>
          <w:szCs w:val="28"/>
        </w:rPr>
        <w:t>2</w:t>
      </w:r>
      <w:r w:rsidRPr="001609A7">
        <w:rPr>
          <w:szCs w:val="28"/>
        </w:rPr>
        <w:t xml:space="preserve"> года </w:t>
      </w:r>
      <w:proofErr w:type="gramStart"/>
      <w:r>
        <w:rPr>
          <w:szCs w:val="28"/>
        </w:rPr>
        <w:t>на</w:t>
      </w:r>
      <w:proofErr w:type="gramEnd"/>
      <w:r w:rsidRPr="001609A7">
        <w:rPr>
          <w:szCs w:val="28"/>
        </w:rPr>
        <w:t xml:space="preserve"> 3,7%</w:t>
      </w:r>
      <w:r>
        <w:rPr>
          <w:szCs w:val="28"/>
        </w:rPr>
        <w:t>.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pacing w:val="-6"/>
          <w:szCs w:val="28"/>
        </w:rPr>
        <w:t>В целях оказания местным бюджетам финансовой помощи</w:t>
      </w:r>
      <w:r>
        <w:rPr>
          <w:spacing w:val="-6"/>
          <w:szCs w:val="28"/>
        </w:rPr>
        <w:t xml:space="preserve"> для выполнения указанных условий,</w:t>
      </w:r>
      <w:r w:rsidRPr="001609A7">
        <w:rPr>
          <w:spacing w:val="-6"/>
          <w:szCs w:val="28"/>
        </w:rPr>
        <w:t xml:space="preserve"> предусмотрены межбюджетные субсидии на обеспечение сохранения достигнутого в рамках </w:t>
      </w:r>
      <w:r>
        <w:rPr>
          <w:spacing w:val="-6"/>
          <w:szCs w:val="28"/>
        </w:rPr>
        <w:t>У</w:t>
      </w:r>
      <w:r w:rsidRPr="001609A7">
        <w:rPr>
          <w:spacing w:val="-6"/>
          <w:szCs w:val="28"/>
        </w:rPr>
        <w:t xml:space="preserve">казов </w:t>
      </w:r>
      <w:r>
        <w:rPr>
          <w:spacing w:val="-6"/>
          <w:szCs w:val="28"/>
        </w:rPr>
        <w:t xml:space="preserve">местными бюджетами </w:t>
      </w:r>
      <w:r w:rsidRPr="001609A7">
        <w:rPr>
          <w:spacing w:val="-6"/>
          <w:szCs w:val="28"/>
        </w:rPr>
        <w:t xml:space="preserve">повышения оплаты труда отдельных категорий работников бюджетной сферы </w:t>
      </w:r>
      <w:r>
        <w:rPr>
          <w:spacing w:val="-6"/>
          <w:szCs w:val="28"/>
        </w:rPr>
        <w:t>в размере</w:t>
      </w:r>
      <w:r w:rsidRPr="001609A7">
        <w:rPr>
          <w:spacing w:val="-6"/>
          <w:szCs w:val="28"/>
        </w:rPr>
        <w:t xml:space="preserve"> 935,7 </w:t>
      </w:r>
      <w:proofErr w:type="gramStart"/>
      <w:r w:rsidRPr="001609A7">
        <w:rPr>
          <w:spacing w:val="-6"/>
          <w:szCs w:val="28"/>
        </w:rPr>
        <w:t>млн</w:t>
      </w:r>
      <w:proofErr w:type="gramEnd"/>
      <w:r w:rsidRPr="001609A7">
        <w:rPr>
          <w:spacing w:val="-6"/>
          <w:szCs w:val="28"/>
        </w:rPr>
        <w:t xml:space="preserve"> рублей,</w:t>
      </w:r>
      <w:r w:rsidRPr="001609A7">
        <w:rPr>
          <w:szCs w:val="28"/>
        </w:rPr>
        <w:t xml:space="preserve"> на обеспечение повышения оплаты труда некоторых категорий работников муниципальных учреждений – 706,4 млн рублей. </w:t>
      </w:r>
    </w:p>
    <w:p w:rsid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Традиционно на реализацию проектов развития муниципальных образований области, основанных на местных инициативах, предусмотрено 80,0 </w:t>
      </w:r>
      <w:proofErr w:type="gramStart"/>
      <w:r>
        <w:rPr>
          <w:spacing w:val="-2"/>
          <w:szCs w:val="28"/>
        </w:rPr>
        <w:t>млн</w:t>
      </w:r>
      <w:proofErr w:type="gramEnd"/>
      <w:r>
        <w:rPr>
          <w:spacing w:val="-2"/>
          <w:szCs w:val="28"/>
        </w:rPr>
        <w:t xml:space="preserve"> рублей, на стимулирование (поощрение) социально-экономического развития муниципалитетов – 150,0 млн рублей.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 xml:space="preserve">Социальные выплаты рассчитаны с ежегодной индексацией с 1 октября в 2020-2022 годах на прогнозный уровень инфляции, а также </w:t>
      </w:r>
      <w:r w:rsidRPr="001609A7">
        <w:rPr>
          <w:bCs/>
          <w:szCs w:val="28"/>
        </w:rPr>
        <w:t xml:space="preserve">с </w:t>
      </w:r>
      <w:r w:rsidRPr="001609A7">
        <w:rPr>
          <w:szCs w:val="28"/>
        </w:rPr>
        <w:t>учетом роста тарифов на оплату жилого помещения и коммунальных услуг, платежи на обязательное медицинское страхование неработающего населения – в соответствии с федеральным нормативом.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pacing w:val="6"/>
          <w:szCs w:val="28"/>
        </w:rPr>
      </w:pPr>
      <w:r w:rsidRPr="001609A7">
        <w:rPr>
          <w:spacing w:val="6"/>
          <w:szCs w:val="28"/>
        </w:rPr>
        <w:t>В 2020 году зарезервированы средства на финансовое обеспечение мероприятий национальных проектов в размере 2</w:t>
      </w:r>
      <w:r w:rsidR="00AA7198">
        <w:rPr>
          <w:spacing w:val="6"/>
          <w:szCs w:val="28"/>
        </w:rPr>
        <w:t> 672,0</w:t>
      </w:r>
      <w:r w:rsidRPr="001609A7">
        <w:rPr>
          <w:spacing w:val="6"/>
          <w:szCs w:val="28"/>
        </w:rPr>
        <w:t xml:space="preserve"> </w:t>
      </w:r>
      <w:proofErr w:type="gramStart"/>
      <w:r w:rsidRPr="001609A7">
        <w:rPr>
          <w:spacing w:val="6"/>
          <w:szCs w:val="28"/>
        </w:rPr>
        <w:t>мл</w:t>
      </w:r>
      <w:r w:rsidR="00AA7198">
        <w:rPr>
          <w:spacing w:val="6"/>
          <w:szCs w:val="28"/>
        </w:rPr>
        <w:t>н</w:t>
      </w:r>
      <w:proofErr w:type="gramEnd"/>
      <w:r w:rsidR="00AA7198">
        <w:rPr>
          <w:spacing w:val="6"/>
          <w:szCs w:val="28"/>
        </w:rPr>
        <w:t xml:space="preserve"> </w:t>
      </w:r>
      <w:r w:rsidRPr="001609A7">
        <w:rPr>
          <w:spacing w:val="6"/>
          <w:szCs w:val="28"/>
        </w:rPr>
        <w:t>рублей</w:t>
      </w:r>
      <w:r w:rsidR="00AA7198">
        <w:rPr>
          <w:spacing w:val="6"/>
          <w:szCs w:val="28"/>
        </w:rPr>
        <w:t xml:space="preserve"> и на реализацию комплекса мероприятий, посвященных празднованию 75-й годовщины Победы в Великой отечественной войне 1941-1945 годов –20,0 млн рублей.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 xml:space="preserve">Общий объем бюджетных ассигнований на обеспечение жильем детей-сирот составил 761,6 </w:t>
      </w:r>
      <w:proofErr w:type="gramStart"/>
      <w:r w:rsidRPr="001609A7">
        <w:rPr>
          <w:szCs w:val="28"/>
        </w:rPr>
        <w:t>млн</w:t>
      </w:r>
      <w:proofErr w:type="gramEnd"/>
      <w:r w:rsidRPr="001609A7">
        <w:rPr>
          <w:szCs w:val="28"/>
        </w:rPr>
        <w:t xml:space="preserve"> рублей</w:t>
      </w:r>
      <w:r w:rsidR="00AA7198">
        <w:rPr>
          <w:szCs w:val="28"/>
        </w:rPr>
        <w:t xml:space="preserve"> без снижения по сравнению с 2019 годом.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>Общий объем областного дорожного фонда составляет на 2020 год 12</w:t>
      </w:r>
      <w:r w:rsidR="00AA7198">
        <w:rPr>
          <w:szCs w:val="28"/>
        </w:rPr>
        <w:t> 135,5</w:t>
      </w:r>
      <w:r w:rsidRPr="001609A7">
        <w:rPr>
          <w:szCs w:val="28"/>
        </w:rPr>
        <w:t> </w:t>
      </w:r>
      <w:proofErr w:type="gramStart"/>
      <w:r w:rsidRPr="001609A7">
        <w:rPr>
          <w:szCs w:val="28"/>
        </w:rPr>
        <w:t>мл</w:t>
      </w:r>
      <w:r w:rsidR="00AA7198">
        <w:rPr>
          <w:szCs w:val="28"/>
        </w:rPr>
        <w:t>н</w:t>
      </w:r>
      <w:proofErr w:type="gramEnd"/>
      <w:r w:rsidRPr="001609A7">
        <w:rPr>
          <w:szCs w:val="28"/>
        </w:rPr>
        <w:t xml:space="preserve"> рублей, 2021 год – 15</w:t>
      </w:r>
      <w:r w:rsidR="00AA7198">
        <w:rPr>
          <w:szCs w:val="28"/>
        </w:rPr>
        <w:t> 652,8</w:t>
      </w:r>
      <w:r w:rsidRPr="001609A7">
        <w:rPr>
          <w:szCs w:val="28"/>
        </w:rPr>
        <w:t xml:space="preserve"> мл</w:t>
      </w:r>
      <w:r w:rsidR="00AA7198">
        <w:rPr>
          <w:szCs w:val="28"/>
        </w:rPr>
        <w:t>н</w:t>
      </w:r>
      <w:r w:rsidRPr="001609A7">
        <w:rPr>
          <w:szCs w:val="28"/>
        </w:rPr>
        <w:t xml:space="preserve"> рублей</w:t>
      </w:r>
      <w:r w:rsidR="00AA7198">
        <w:rPr>
          <w:szCs w:val="28"/>
        </w:rPr>
        <w:t xml:space="preserve"> (в том числе в условно утверждаемых расходах 2 400</w:t>
      </w:r>
      <w:r w:rsidRPr="001609A7">
        <w:rPr>
          <w:szCs w:val="28"/>
        </w:rPr>
        <w:t>,</w:t>
      </w:r>
      <w:r w:rsidR="00AA7198">
        <w:rPr>
          <w:szCs w:val="28"/>
        </w:rPr>
        <w:t xml:space="preserve">0 млн рублей) и </w:t>
      </w:r>
      <w:r w:rsidRPr="001609A7">
        <w:rPr>
          <w:szCs w:val="28"/>
        </w:rPr>
        <w:t>на 2022 год – 14</w:t>
      </w:r>
      <w:r w:rsidR="00AA7198">
        <w:rPr>
          <w:szCs w:val="28"/>
        </w:rPr>
        <w:t> 351,1</w:t>
      </w:r>
      <w:r w:rsidRPr="001609A7">
        <w:rPr>
          <w:szCs w:val="28"/>
        </w:rPr>
        <w:t xml:space="preserve"> мл</w:t>
      </w:r>
      <w:r w:rsidR="00AA7198">
        <w:rPr>
          <w:szCs w:val="28"/>
        </w:rPr>
        <w:t>н</w:t>
      </w:r>
      <w:r w:rsidRPr="001609A7">
        <w:rPr>
          <w:szCs w:val="28"/>
        </w:rPr>
        <w:t xml:space="preserve"> рублей</w:t>
      </w:r>
      <w:r w:rsidR="00AA7198">
        <w:rPr>
          <w:szCs w:val="28"/>
        </w:rPr>
        <w:t xml:space="preserve"> (</w:t>
      </w:r>
      <w:r w:rsidR="00AA7198">
        <w:rPr>
          <w:szCs w:val="28"/>
        </w:rPr>
        <w:t xml:space="preserve">в том числе в условно утверждаемых расходах </w:t>
      </w:r>
      <w:r w:rsidR="00AA7198">
        <w:rPr>
          <w:szCs w:val="28"/>
        </w:rPr>
        <w:t>4 850</w:t>
      </w:r>
      <w:r w:rsidR="00AA7198" w:rsidRPr="001609A7">
        <w:rPr>
          <w:szCs w:val="28"/>
        </w:rPr>
        <w:t>,</w:t>
      </w:r>
      <w:r w:rsidR="00AA7198">
        <w:rPr>
          <w:szCs w:val="28"/>
        </w:rPr>
        <w:t>0 млн рублей)</w:t>
      </w:r>
      <w:r w:rsidRPr="001609A7">
        <w:rPr>
          <w:szCs w:val="28"/>
        </w:rPr>
        <w:t>.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>В соответствии с требованиями Бюджетного кодекса Российской Федерации в 2021 и 2022 годах предусмотрены условно утверждаемые расходы в размере соответственно 2,6% и 5</w:t>
      </w:r>
      <w:r w:rsidR="00AA7198">
        <w:rPr>
          <w:szCs w:val="28"/>
        </w:rPr>
        <w:t>,0</w:t>
      </w:r>
      <w:r w:rsidRPr="001609A7">
        <w:rPr>
          <w:szCs w:val="28"/>
        </w:rPr>
        <w:t>% от общей суммы собственных расходов бюджета.</w:t>
      </w:r>
    </w:p>
    <w:p w:rsidR="001609A7" w:rsidRPr="001609A7" w:rsidRDefault="001609A7" w:rsidP="001609A7">
      <w:pPr>
        <w:shd w:val="clear" w:color="auto" w:fill="FFFFFF"/>
        <w:spacing w:line="228" w:lineRule="auto"/>
        <w:ind w:firstLine="709"/>
        <w:jc w:val="both"/>
        <w:rPr>
          <w:szCs w:val="28"/>
        </w:rPr>
      </w:pPr>
      <w:r w:rsidRPr="001609A7">
        <w:rPr>
          <w:szCs w:val="28"/>
        </w:rPr>
        <w:t>Основные показатели областного бюджета на 2020-2022 годы характеризуются следующими данными:</w:t>
      </w:r>
    </w:p>
    <w:p w:rsidR="00AA7198" w:rsidRDefault="0007777D" w:rsidP="00AA7198">
      <w:pPr>
        <w:shd w:val="clear" w:color="auto" w:fill="FFFFFF"/>
        <w:spacing w:line="228" w:lineRule="auto"/>
        <w:ind w:firstLine="709"/>
        <w:jc w:val="right"/>
        <w:rPr>
          <w:color w:val="000000"/>
          <w:szCs w:val="28"/>
        </w:rPr>
      </w:pPr>
      <w:r>
        <w:rPr>
          <w:color w:val="000000"/>
          <w:szCs w:val="28"/>
        </w:rPr>
        <w:t>(</w:t>
      </w:r>
      <w:proofErr w:type="gramStart"/>
      <w:r>
        <w:rPr>
          <w:color w:val="000000"/>
          <w:szCs w:val="28"/>
        </w:rPr>
        <w:t>млн</w:t>
      </w:r>
      <w:proofErr w:type="gramEnd"/>
      <w:r w:rsidR="00AA7198" w:rsidRPr="00DA167C">
        <w:rPr>
          <w:color w:val="000000"/>
          <w:szCs w:val="28"/>
          <w:lang w:val="en-US"/>
        </w:rPr>
        <w:t xml:space="preserve"> </w:t>
      </w:r>
      <w:r w:rsidR="00AA7198" w:rsidRPr="00DA167C">
        <w:rPr>
          <w:color w:val="000000"/>
          <w:szCs w:val="28"/>
        </w:rPr>
        <w:t>рублей)</w:t>
      </w:r>
    </w:p>
    <w:p w:rsidR="00F73939" w:rsidRPr="00F73939" w:rsidRDefault="00F73939" w:rsidP="00AA7198">
      <w:pPr>
        <w:shd w:val="clear" w:color="auto" w:fill="FFFFFF"/>
        <w:spacing w:line="228" w:lineRule="auto"/>
        <w:ind w:firstLine="709"/>
        <w:jc w:val="right"/>
        <w:rPr>
          <w:color w:val="000000"/>
          <w:sz w:val="1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2"/>
        <w:gridCol w:w="1440"/>
        <w:gridCol w:w="1418"/>
        <w:gridCol w:w="1417"/>
      </w:tblGrid>
      <w:tr w:rsidR="00AA7198" w:rsidRPr="00DA167C" w:rsidTr="0007777D">
        <w:trPr>
          <w:trHeight w:val="60"/>
          <w:tblHeader/>
        </w:trPr>
        <w:tc>
          <w:tcPr>
            <w:tcW w:w="5472" w:type="dxa"/>
            <w:shd w:val="clear" w:color="auto" w:fill="auto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center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Показатели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center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20</w:t>
            </w:r>
            <w:r w:rsidRPr="00DA167C">
              <w:rPr>
                <w:b/>
                <w:bCs/>
                <w:color w:val="000000"/>
                <w:szCs w:val="28"/>
                <w:lang w:val="en-US"/>
              </w:rPr>
              <w:t>20</w:t>
            </w:r>
            <w:r w:rsidRPr="00DA167C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center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202</w:t>
            </w:r>
            <w:r w:rsidRPr="00DA167C">
              <w:rPr>
                <w:b/>
                <w:bCs/>
                <w:color w:val="000000"/>
                <w:szCs w:val="28"/>
                <w:lang w:val="en-US"/>
              </w:rPr>
              <w:t>1</w:t>
            </w:r>
            <w:r w:rsidRPr="00DA167C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center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202</w:t>
            </w:r>
            <w:r w:rsidRPr="00DA167C">
              <w:rPr>
                <w:b/>
                <w:bCs/>
                <w:color w:val="000000"/>
                <w:szCs w:val="28"/>
                <w:lang w:val="en-US"/>
              </w:rPr>
              <w:t>2</w:t>
            </w:r>
            <w:r w:rsidRPr="00DA167C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Доходы - всего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  <w:lang w:val="en-US"/>
              </w:rPr>
              <w:t>103616</w:t>
            </w:r>
            <w:r w:rsidRPr="00DA167C">
              <w:rPr>
                <w:b/>
                <w:bCs/>
                <w:color w:val="000000"/>
                <w:szCs w:val="28"/>
              </w:rPr>
              <w:t>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b/>
                <w:bCs/>
                <w:color w:val="000000"/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108899,3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b/>
                <w:bCs/>
                <w:color w:val="000000"/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110467,8</w:t>
            </w:r>
          </w:p>
        </w:tc>
      </w:tr>
      <w:tr w:rsidR="00AA7198" w:rsidRPr="00DA167C" w:rsidTr="0007777D">
        <w:tc>
          <w:tcPr>
            <w:tcW w:w="5472" w:type="dxa"/>
            <w:shd w:val="clear" w:color="auto" w:fill="auto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ind w:firstLine="142"/>
              <w:rPr>
                <w:szCs w:val="28"/>
              </w:rPr>
            </w:pPr>
            <w:r w:rsidRPr="00DA167C">
              <w:rPr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DA167C">
              <w:rPr>
                <w:color w:val="000000"/>
                <w:szCs w:val="28"/>
              </w:rPr>
              <w:t>73669,1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DA167C">
              <w:rPr>
                <w:color w:val="000000"/>
                <w:szCs w:val="28"/>
              </w:rPr>
              <w:t>81083,1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DA167C">
              <w:rPr>
                <w:color w:val="000000"/>
                <w:szCs w:val="28"/>
              </w:rPr>
              <w:t>84446,4</w:t>
            </w:r>
          </w:p>
        </w:tc>
      </w:tr>
      <w:tr w:rsidR="00AA7198" w:rsidRPr="00DA167C" w:rsidTr="0007777D">
        <w:tc>
          <w:tcPr>
            <w:tcW w:w="5472" w:type="dxa"/>
            <w:shd w:val="clear" w:color="auto" w:fill="auto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ind w:firstLine="142"/>
              <w:rPr>
                <w:szCs w:val="28"/>
              </w:rPr>
            </w:pPr>
            <w:r w:rsidRPr="00DA167C">
              <w:rPr>
                <w:color w:val="000000"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DA167C">
              <w:rPr>
                <w:color w:val="000000"/>
                <w:szCs w:val="28"/>
              </w:rPr>
              <w:t>29947,6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DA167C">
              <w:rPr>
                <w:color w:val="000000"/>
                <w:szCs w:val="28"/>
              </w:rPr>
              <w:t>27816,2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DA167C">
              <w:rPr>
                <w:color w:val="000000"/>
                <w:szCs w:val="28"/>
              </w:rPr>
              <w:t>26021,4</w:t>
            </w:r>
          </w:p>
        </w:tc>
      </w:tr>
      <w:tr w:rsidR="00AA7198" w:rsidRPr="00DA167C" w:rsidTr="0007777D">
        <w:tc>
          <w:tcPr>
            <w:tcW w:w="5472" w:type="dxa"/>
            <w:shd w:val="clear" w:color="auto" w:fill="auto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ind w:firstLine="142"/>
              <w:rPr>
                <w:i/>
                <w:color w:val="000000"/>
                <w:szCs w:val="28"/>
              </w:rPr>
            </w:pPr>
            <w:r>
              <w:rPr>
                <w:i/>
                <w:color w:val="000000"/>
                <w:szCs w:val="28"/>
              </w:rPr>
              <w:t xml:space="preserve">    </w:t>
            </w:r>
            <w:r w:rsidRPr="00AA7198">
              <w:rPr>
                <w:i/>
                <w:color w:val="000000"/>
                <w:szCs w:val="28"/>
              </w:rPr>
              <w:t>нецелевого характера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 w:rsidRPr="00AA7198">
              <w:rPr>
                <w:i/>
                <w:color w:val="000000"/>
                <w:szCs w:val="28"/>
              </w:rPr>
              <w:t>10526,0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 w:rsidRPr="00AA7198">
              <w:rPr>
                <w:i/>
                <w:color w:val="000000"/>
                <w:szCs w:val="28"/>
              </w:rPr>
              <w:t>10526,0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 w:rsidRPr="00AA7198">
              <w:rPr>
                <w:i/>
                <w:color w:val="000000"/>
                <w:szCs w:val="28"/>
              </w:rPr>
              <w:t>10526,0</w:t>
            </w:r>
          </w:p>
        </w:tc>
      </w:tr>
      <w:tr w:rsidR="00AA7198" w:rsidRPr="00DA167C" w:rsidTr="0007777D">
        <w:tc>
          <w:tcPr>
            <w:tcW w:w="5472" w:type="dxa"/>
            <w:shd w:val="clear" w:color="auto" w:fill="auto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ind w:firstLine="142"/>
              <w:rPr>
                <w:i/>
                <w:color w:val="000000"/>
                <w:szCs w:val="28"/>
              </w:rPr>
            </w:pPr>
            <w:r>
              <w:rPr>
                <w:i/>
                <w:color w:val="000000"/>
                <w:szCs w:val="28"/>
              </w:rPr>
              <w:t xml:space="preserve">    </w:t>
            </w:r>
            <w:r w:rsidRPr="00AA7198">
              <w:rPr>
                <w:i/>
                <w:color w:val="000000"/>
                <w:szCs w:val="28"/>
              </w:rPr>
              <w:t>целевого характера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 w:rsidRPr="00AA7198">
              <w:rPr>
                <w:i/>
                <w:color w:val="000000"/>
                <w:szCs w:val="28"/>
              </w:rPr>
              <w:t>19421,6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 w:rsidRPr="00AA7198">
              <w:rPr>
                <w:i/>
                <w:color w:val="000000"/>
                <w:szCs w:val="28"/>
              </w:rPr>
              <w:t>17290,2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 w:rsidRPr="00AA7198">
              <w:rPr>
                <w:i/>
                <w:color w:val="000000"/>
                <w:szCs w:val="28"/>
              </w:rPr>
              <w:t>15495,4</w:t>
            </w:r>
          </w:p>
        </w:tc>
      </w:tr>
      <w:tr w:rsidR="00AA7198" w:rsidRPr="00DA167C" w:rsidTr="0007777D">
        <w:tc>
          <w:tcPr>
            <w:tcW w:w="5472" w:type="dxa"/>
            <w:shd w:val="clear" w:color="auto" w:fill="auto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Расходы - всего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szCs w:val="28"/>
              </w:rPr>
            </w:pPr>
            <w:r w:rsidRPr="00DA167C">
              <w:rPr>
                <w:b/>
                <w:bCs/>
                <w:szCs w:val="28"/>
              </w:rPr>
              <w:t>107425,4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szCs w:val="28"/>
              </w:rPr>
            </w:pPr>
            <w:r w:rsidRPr="00DA167C">
              <w:rPr>
                <w:b/>
                <w:bCs/>
                <w:szCs w:val="28"/>
              </w:rPr>
              <w:t>110581,6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szCs w:val="28"/>
              </w:rPr>
            </w:pPr>
            <w:r w:rsidRPr="00DA167C">
              <w:rPr>
                <w:b/>
                <w:bCs/>
                <w:szCs w:val="28"/>
              </w:rPr>
              <w:t>112596,8</w:t>
            </w:r>
          </w:p>
        </w:tc>
      </w:tr>
      <w:tr w:rsidR="00AA7198" w:rsidRPr="00DA167C" w:rsidTr="0007777D">
        <w:tc>
          <w:tcPr>
            <w:tcW w:w="5472" w:type="dxa"/>
            <w:shd w:val="clear" w:color="auto" w:fill="auto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rPr>
                <w:bCs/>
                <w:color w:val="000000"/>
                <w:szCs w:val="28"/>
              </w:rPr>
            </w:pPr>
            <w:r w:rsidRPr="00AA7198">
              <w:rPr>
                <w:bCs/>
                <w:color w:val="000000"/>
                <w:szCs w:val="28"/>
              </w:rPr>
              <w:t>Расходы за счет областных средств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 w:rsidRPr="00AA7198">
              <w:rPr>
                <w:bCs/>
                <w:szCs w:val="28"/>
              </w:rPr>
              <w:t>88003,8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 w:rsidRPr="00AA7198">
              <w:rPr>
                <w:bCs/>
                <w:szCs w:val="28"/>
              </w:rPr>
              <w:t>93291,4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 w:rsidRPr="00AA7198">
              <w:rPr>
                <w:bCs/>
                <w:szCs w:val="28"/>
              </w:rPr>
              <w:t>97101,4</w:t>
            </w:r>
          </w:p>
        </w:tc>
      </w:tr>
      <w:tr w:rsidR="00AA7198" w:rsidRPr="00DA167C" w:rsidTr="0007777D">
        <w:tc>
          <w:tcPr>
            <w:tcW w:w="5472" w:type="dxa"/>
            <w:shd w:val="clear" w:color="auto" w:fill="auto"/>
          </w:tcPr>
          <w:p w:rsidR="00AA7198" w:rsidRPr="00AA7198" w:rsidRDefault="00AA7198" w:rsidP="00AA7198">
            <w:pPr>
              <w:shd w:val="clear" w:color="auto" w:fill="FFFFFF"/>
              <w:spacing w:line="228" w:lineRule="auto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 зарплата с начислениями учреждений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14856,0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15129,7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AA7198" w:rsidRDefault="00AA7198" w:rsidP="00AA71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16111,3</w:t>
            </w:r>
          </w:p>
        </w:tc>
      </w:tr>
      <w:tr w:rsidR="00AA7198" w:rsidRPr="00DA167C" w:rsidTr="0007777D">
        <w:tc>
          <w:tcPr>
            <w:tcW w:w="5472" w:type="dxa"/>
            <w:shd w:val="clear" w:color="auto" w:fill="auto"/>
          </w:tcPr>
          <w:p w:rsidR="00AA7198" w:rsidRPr="00AA7198" w:rsidRDefault="00AA7198" w:rsidP="00AA7198">
            <w:pPr>
              <w:shd w:val="clear" w:color="auto" w:fill="FFFFFF"/>
              <w:spacing w:line="228" w:lineRule="auto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 социальные выплаты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9494,7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9671,6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9936,7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ind w:firstLine="142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перечисления в ФОМС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10599,8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11022,6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11463,9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ind w:firstLine="14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обслуживание долга (без ОДФ)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2273,4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AA7198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2551,5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3077,0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ind w:firstLine="14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межбюджетные трансферты местным бюджетам (без ОФД)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25559,0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27320,4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28998,6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ind w:firstLine="14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областной дорожный фонд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10615,5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11739,0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9397,0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ind w:firstLine="14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содержание аппарата 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1936,7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1995,2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2056,7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ind w:firstLine="142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остальные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12668,7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11456,3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11199,1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AA7198" w:rsidRDefault="00AA7198" w:rsidP="007C729F">
            <w:pPr>
              <w:shd w:val="clear" w:color="auto" w:fill="FFFFFF"/>
              <w:spacing w:line="228" w:lineRule="auto"/>
              <w:ind w:firstLine="142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условно утверждаемые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AA7198" w:rsidRDefault="00AA7198" w:rsidP="007C729F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AA7198" w:rsidRDefault="00AA7198" w:rsidP="007C729F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2405,1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DA167C" w:rsidRDefault="00AA7198" w:rsidP="007C729F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DA167C">
              <w:rPr>
                <w:color w:val="000000"/>
                <w:szCs w:val="28"/>
              </w:rPr>
              <w:t>4861,1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AA7198" w:rsidRDefault="00AA7198" w:rsidP="00AA7198">
            <w:pPr>
              <w:shd w:val="clear" w:color="auto" w:fill="FFFFFF"/>
              <w:spacing w:line="228" w:lineRule="auto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Расходы за счет целевых средств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19421,6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AA7198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 w:rsidRPr="00AA7198">
              <w:rPr>
                <w:color w:val="000000"/>
                <w:szCs w:val="28"/>
              </w:rPr>
              <w:t>17290,2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DA167C" w:rsidRDefault="00AA7198" w:rsidP="00BC59A8">
            <w:pPr>
              <w:shd w:val="clear" w:color="auto" w:fill="FFFFFF"/>
              <w:spacing w:line="228" w:lineRule="auto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15495,4</w:t>
            </w:r>
          </w:p>
        </w:tc>
      </w:tr>
      <w:tr w:rsidR="00AA7198" w:rsidRPr="00DA167C" w:rsidTr="0007777D">
        <w:trPr>
          <w:trHeight w:val="60"/>
        </w:trPr>
        <w:tc>
          <w:tcPr>
            <w:tcW w:w="5472" w:type="dxa"/>
            <w:shd w:val="clear" w:color="auto" w:fill="auto"/>
          </w:tcPr>
          <w:p w:rsidR="00AA7198" w:rsidRPr="008A0042" w:rsidRDefault="008A0042" w:rsidP="008A0042">
            <w:pPr>
              <w:shd w:val="clear" w:color="auto" w:fill="FFFFFF"/>
              <w:spacing w:line="228" w:lineRule="auto"/>
              <w:rPr>
                <w:i/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</w:t>
            </w:r>
            <w:r w:rsidRPr="008A0042">
              <w:rPr>
                <w:i/>
                <w:color w:val="000000"/>
                <w:szCs w:val="28"/>
              </w:rPr>
              <w:t>Справочно: доля программных расходов</w:t>
            </w:r>
            <w:proofErr w:type="gramStart"/>
            <w:r w:rsidRPr="008A0042">
              <w:rPr>
                <w:i/>
                <w:color w:val="000000"/>
                <w:szCs w:val="28"/>
              </w:rPr>
              <w:t xml:space="preserve"> (%)</w:t>
            </w:r>
            <w:proofErr w:type="gramEnd"/>
          </w:p>
        </w:tc>
        <w:tc>
          <w:tcPr>
            <w:tcW w:w="1440" w:type="dxa"/>
            <w:shd w:val="clear" w:color="auto" w:fill="auto"/>
            <w:vAlign w:val="center"/>
          </w:tcPr>
          <w:p w:rsidR="00AA7198" w:rsidRPr="008A0042" w:rsidRDefault="008A0042" w:rsidP="00BC59A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>
              <w:rPr>
                <w:i/>
                <w:color w:val="000000"/>
                <w:szCs w:val="28"/>
              </w:rPr>
              <w:t>93,5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A7198" w:rsidRPr="008A0042" w:rsidRDefault="008A0042" w:rsidP="00BC59A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>
              <w:rPr>
                <w:i/>
                <w:color w:val="000000"/>
                <w:szCs w:val="28"/>
              </w:rPr>
              <w:t>93,7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A7198" w:rsidRPr="008A0042" w:rsidRDefault="008A0042" w:rsidP="00BC59A8">
            <w:pPr>
              <w:shd w:val="clear" w:color="auto" w:fill="FFFFFF"/>
              <w:spacing w:line="228" w:lineRule="auto"/>
              <w:jc w:val="right"/>
              <w:rPr>
                <w:i/>
                <w:color w:val="000000"/>
                <w:szCs w:val="28"/>
              </w:rPr>
            </w:pPr>
            <w:r>
              <w:rPr>
                <w:i/>
                <w:color w:val="000000"/>
                <w:szCs w:val="28"/>
              </w:rPr>
              <w:t>93,6</w:t>
            </w:r>
          </w:p>
        </w:tc>
      </w:tr>
      <w:tr w:rsidR="00AA7198" w:rsidRPr="00DA167C" w:rsidTr="0007777D">
        <w:trPr>
          <w:trHeight w:val="335"/>
        </w:trPr>
        <w:tc>
          <w:tcPr>
            <w:tcW w:w="5472" w:type="dxa"/>
            <w:shd w:val="clear" w:color="auto" w:fill="auto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Дефицит</w:t>
            </w:r>
            <w:proofErr w:type="gramStart"/>
            <w:r w:rsidRPr="00DA167C">
              <w:rPr>
                <w:b/>
                <w:bCs/>
                <w:color w:val="000000"/>
                <w:szCs w:val="28"/>
              </w:rPr>
              <w:t xml:space="preserve"> (-)/</w:t>
            </w:r>
            <w:proofErr w:type="gramEnd"/>
            <w:r w:rsidRPr="00DA167C">
              <w:rPr>
                <w:b/>
                <w:bCs/>
                <w:color w:val="000000"/>
                <w:szCs w:val="28"/>
              </w:rPr>
              <w:t>Профицит (+)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szCs w:val="28"/>
                <w:highlight w:val="yellow"/>
              </w:rPr>
            </w:pPr>
            <w:r w:rsidRPr="00DA167C">
              <w:rPr>
                <w:b/>
                <w:bCs/>
                <w:color w:val="000000"/>
                <w:szCs w:val="28"/>
              </w:rPr>
              <w:t>-3808,7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szCs w:val="28"/>
                <w:highlight w:val="yellow"/>
              </w:rPr>
            </w:pPr>
            <w:r w:rsidRPr="00DA167C">
              <w:rPr>
                <w:b/>
                <w:bCs/>
                <w:color w:val="000000"/>
                <w:szCs w:val="28"/>
              </w:rPr>
              <w:t>-1682,3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A7198" w:rsidRPr="00DA167C" w:rsidRDefault="00AA7198" w:rsidP="00F56598">
            <w:pPr>
              <w:shd w:val="clear" w:color="auto" w:fill="FFFFFF"/>
              <w:spacing w:line="228" w:lineRule="auto"/>
              <w:jc w:val="right"/>
              <w:rPr>
                <w:szCs w:val="28"/>
              </w:rPr>
            </w:pPr>
            <w:r w:rsidRPr="00DA167C">
              <w:rPr>
                <w:b/>
                <w:bCs/>
                <w:color w:val="000000"/>
                <w:szCs w:val="28"/>
              </w:rPr>
              <w:t>-2129,0</w:t>
            </w:r>
          </w:p>
        </w:tc>
      </w:tr>
    </w:tbl>
    <w:p w:rsidR="00AA7198" w:rsidRPr="00DA167C" w:rsidRDefault="00AA7198" w:rsidP="00AA7198">
      <w:pPr>
        <w:spacing w:line="228" w:lineRule="auto"/>
        <w:ind w:firstLine="709"/>
        <w:jc w:val="both"/>
        <w:rPr>
          <w:szCs w:val="28"/>
        </w:rPr>
      </w:pPr>
    </w:p>
    <w:p w:rsidR="00AA7198" w:rsidRDefault="008A0042" w:rsidP="00AA7198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Источниками покрытия бюджетного дефицита определены банковские заимствования.</w:t>
      </w:r>
    </w:p>
    <w:p w:rsidR="008A0042" w:rsidRDefault="008A0042" w:rsidP="00AA7198">
      <w:pPr>
        <w:spacing w:line="22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Параметры дефицита областного бюджета, государственного внутреннего долга и расходов на его обслуживание соответствуют установленным Бюджетных кодексом Российской Федерации ограничениям.</w:t>
      </w:r>
      <w:proofErr w:type="gramEnd"/>
    </w:p>
    <w:p w:rsidR="008A0042" w:rsidRDefault="008A0042" w:rsidP="00AA7198">
      <w:pPr>
        <w:spacing w:line="228" w:lineRule="auto"/>
        <w:ind w:firstLine="709"/>
        <w:jc w:val="both"/>
        <w:rPr>
          <w:szCs w:val="28"/>
        </w:rPr>
      </w:pPr>
    </w:p>
    <w:p w:rsidR="008A0042" w:rsidRDefault="008A0042" w:rsidP="00AA7198">
      <w:pPr>
        <w:spacing w:line="228" w:lineRule="auto"/>
        <w:ind w:firstLine="709"/>
        <w:jc w:val="both"/>
        <w:rPr>
          <w:szCs w:val="28"/>
        </w:rPr>
      </w:pPr>
    </w:p>
    <w:p w:rsidR="008A0042" w:rsidRDefault="008A0042" w:rsidP="00AA7198">
      <w:pPr>
        <w:spacing w:line="228" w:lineRule="auto"/>
        <w:ind w:firstLine="709"/>
        <w:jc w:val="both"/>
        <w:rPr>
          <w:szCs w:val="28"/>
        </w:rPr>
      </w:pPr>
    </w:p>
    <w:p w:rsidR="008A0042" w:rsidRPr="00F81C82" w:rsidRDefault="008A0042" w:rsidP="008A0042">
      <w:pPr>
        <w:contextualSpacing/>
        <w:rPr>
          <w:b/>
          <w:szCs w:val="28"/>
        </w:rPr>
      </w:pPr>
      <w:r w:rsidRPr="00F81C82">
        <w:rPr>
          <w:b/>
          <w:szCs w:val="28"/>
        </w:rPr>
        <w:t>Первый заместитель Председателя</w:t>
      </w:r>
    </w:p>
    <w:p w:rsidR="008A0042" w:rsidRPr="00F81C82" w:rsidRDefault="008A0042" w:rsidP="008A0042">
      <w:pPr>
        <w:contextualSpacing/>
        <w:rPr>
          <w:b/>
          <w:szCs w:val="28"/>
        </w:rPr>
      </w:pPr>
      <w:r w:rsidRPr="00F81C82">
        <w:rPr>
          <w:b/>
          <w:szCs w:val="28"/>
        </w:rPr>
        <w:t>Правительства Саратовской области –</w:t>
      </w:r>
    </w:p>
    <w:p w:rsidR="008A0042" w:rsidRPr="00F81C82" w:rsidRDefault="008A0042" w:rsidP="008A0042">
      <w:pPr>
        <w:contextualSpacing/>
        <w:rPr>
          <w:b/>
          <w:szCs w:val="28"/>
        </w:rPr>
      </w:pPr>
      <w:r w:rsidRPr="00F81C82">
        <w:rPr>
          <w:b/>
          <w:szCs w:val="28"/>
        </w:rPr>
        <w:t>министр фи</w:t>
      </w:r>
      <w:r>
        <w:rPr>
          <w:b/>
          <w:szCs w:val="28"/>
        </w:rPr>
        <w:t xml:space="preserve">нансов Саратовской области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Pr="00F81C82">
        <w:rPr>
          <w:b/>
          <w:szCs w:val="28"/>
        </w:rPr>
        <w:t xml:space="preserve">       </w:t>
      </w:r>
      <w:r>
        <w:rPr>
          <w:b/>
          <w:szCs w:val="28"/>
        </w:rPr>
        <w:t xml:space="preserve">      </w:t>
      </w:r>
      <w:r w:rsidRPr="00F81C82">
        <w:rPr>
          <w:b/>
          <w:szCs w:val="28"/>
        </w:rPr>
        <w:t xml:space="preserve">   В.Г. </w:t>
      </w:r>
      <w:proofErr w:type="spellStart"/>
      <w:r w:rsidRPr="00F81C82">
        <w:rPr>
          <w:b/>
          <w:szCs w:val="28"/>
        </w:rPr>
        <w:t>Ойкин</w:t>
      </w:r>
      <w:proofErr w:type="spellEnd"/>
    </w:p>
    <w:p w:rsidR="008A0042" w:rsidRDefault="008A0042" w:rsidP="008A0042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8A0042" w:rsidRPr="00DA167C" w:rsidRDefault="008A0042" w:rsidP="00AA7198">
      <w:pPr>
        <w:spacing w:line="228" w:lineRule="auto"/>
        <w:ind w:firstLine="709"/>
        <w:jc w:val="both"/>
        <w:rPr>
          <w:szCs w:val="28"/>
        </w:rPr>
      </w:pPr>
    </w:p>
    <w:p w:rsidR="001609A7" w:rsidRDefault="001609A7" w:rsidP="001609A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609A7" w:rsidRDefault="001609A7" w:rsidP="001609A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609A7" w:rsidRDefault="001609A7" w:rsidP="001609A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609A7" w:rsidRDefault="001609A7" w:rsidP="001609A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609A7" w:rsidRDefault="001609A7" w:rsidP="001609A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609A7" w:rsidRDefault="001609A7" w:rsidP="001609A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609A7" w:rsidRDefault="001609A7" w:rsidP="001609A7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609A7" w:rsidRDefault="001609A7" w:rsidP="00413158">
      <w:pPr>
        <w:ind w:firstLine="8080"/>
        <w:jc w:val="both"/>
        <w:rPr>
          <w:sz w:val="24"/>
          <w:szCs w:val="28"/>
        </w:rPr>
      </w:pPr>
    </w:p>
    <w:p w:rsidR="001609A7" w:rsidRDefault="001609A7" w:rsidP="00413158">
      <w:pPr>
        <w:ind w:firstLine="8080"/>
        <w:jc w:val="both"/>
        <w:rPr>
          <w:sz w:val="24"/>
          <w:szCs w:val="28"/>
        </w:rPr>
      </w:pPr>
    </w:p>
    <w:p w:rsidR="001609A7" w:rsidRDefault="001609A7" w:rsidP="00413158">
      <w:pPr>
        <w:ind w:firstLine="8080"/>
        <w:jc w:val="both"/>
        <w:rPr>
          <w:sz w:val="24"/>
          <w:szCs w:val="28"/>
        </w:rPr>
      </w:pPr>
    </w:p>
    <w:p w:rsidR="001609A7" w:rsidRDefault="001609A7" w:rsidP="00413158">
      <w:pPr>
        <w:ind w:firstLine="8080"/>
        <w:jc w:val="both"/>
        <w:rPr>
          <w:sz w:val="24"/>
          <w:szCs w:val="28"/>
        </w:rPr>
      </w:pPr>
    </w:p>
    <w:p w:rsidR="001609A7" w:rsidRDefault="001609A7" w:rsidP="00413158">
      <w:pPr>
        <w:ind w:firstLine="8080"/>
        <w:jc w:val="both"/>
        <w:rPr>
          <w:sz w:val="24"/>
          <w:szCs w:val="28"/>
        </w:rPr>
      </w:pPr>
    </w:p>
    <w:p w:rsidR="001609A7" w:rsidRDefault="001609A7" w:rsidP="00413158">
      <w:pPr>
        <w:ind w:firstLine="8080"/>
        <w:jc w:val="both"/>
        <w:rPr>
          <w:sz w:val="24"/>
          <w:szCs w:val="28"/>
        </w:rPr>
      </w:pPr>
    </w:p>
    <w:p w:rsidR="00774A53" w:rsidRDefault="00774A53" w:rsidP="00774A53">
      <w:pPr>
        <w:jc w:val="both"/>
        <w:rPr>
          <w:szCs w:val="28"/>
        </w:rPr>
      </w:pPr>
    </w:p>
    <w:sectPr w:rsidR="00774A53" w:rsidSect="00E018CD">
      <w:headerReference w:type="even" r:id="rId7"/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42E" w:rsidRDefault="00EE342E">
      <w:r>
        <w:separator/>
      </w:r>
    </w:p>
  </w:endnote>
  <w:endnote w:type="continuationSeparator" w:id="0">
    <w:p w:rsidR="00EE342E" w:rsidRDefault="00EE3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42E" w:rsidRDefault="00EE342E">
      <w:r>
        <w:separator/>
      </w:r>
    </w:p>
  </w:footnote>
  <w:footnote w:type="continuationSeparator" w:id="0">
    <w:p w:rsidR="00EE342E" w:rsidRDefault="00EE34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CD" w:rsidRDefault="00E018C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018CD" w:rsidRDefault="00E018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CD" w:rsidRPr="00966149" w:rsidRDefault="00E018CD">
    <w:pPr>
      <w:pStyle w:val="a3"/>
      <w:framePr w:wrap="around" w:vAnchor="text" w:hAnchor="margin" w:xAlign="center" w:y="1"/>
      <w:rPr>
        <w:rStyle w:val="a7"/>
        <w:sz w:val="24"/>
      </w:rPr>
    </w:pPr>
    <w:r w:rsidRPr="00966149">
      <w:rPr>
        <w:rStyle w:val="a7"/>
        <w:sz w:val="24"/>
      </w:rPr>
      <w:fldChar w:fldCharType="begin"/>
    </w:r>
    <w:r w:rsidRPr="00966149">
      <w:rPr>
        <w:rStyle w:val="a7"/>
        <w:sz w:val="24"/>
      </w:rPr>
      <w:instrText xml:space="preserve">PAGE  </w:instrText>
    </w:r>
    <w:r w:rsidRPr="00966149">
      <w:rPr>
        <w:rStyle w:val="a7"/>
        <w:sz w:val="24"/>
      </w:rPr>
      <w:fldChar w:fldCharType="separate"/>
    </w:r>
    <w:r w:rsidR="00F73939">
      <w:rPr>
        <w:rStyle w:val="a7"/>
        <w:noProof/>
        <w:sz w:val="24"/>
      </w:rPr>
      <w:t>2</w:t>
    </w:r>
    <w:r w:rsidRPr="00966149">
      <w:rPr>
        <w:rStyle w:val="a7"/>
        <w:sz w:val="24"/>
      </w:rPr>
      <w:fldChar w:fldCharType="end"/>
    </w:r>
  </w:p>
  <w:p w:rsidR="00E018CD" w:rsidRDefault="00E018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89"/>
    <w:rsid w:val="0007777D"/>
    <w:rsid w:val="001609A7"/>
    <w:rsid w:val="00413158"/>
    <w:rsid w:val="005B758C"/>
    <w:rsid w:val="005D6BC5"/>
    <w:rsid w:val="00695C77"/>
    <w:rsid w:val="00774A53"/>
    <w:rsid w:val="007B0D53"/>
    <w:rsid w:val="00807E58"/>
    <w:rsid w:val="008A0042"/>
    <w:rsid w:val="00AA7198"/>
    <w:rsid w:val="00AB6D9D"/>
    <w:rsid w:val="00C3030B"/>
    <w:rsid w:val="00C867B3"/>
    <w:rsid w:val="00E018CD"/>
    <w:rsid w:val="00E641E6"/>
    <w:rsid w:val="00EE342E"/>
    <w:rsid w:val="00F57589"/>
    <w:rsid w:val="00F7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8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7589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7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F575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F575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F57589"/>
  </w:style>
  <w:style w:type="table" w:styleId="a8">
    <w:name w:val="Table Grid"/>
    <w:basedOn w:val="a1"/>
    <w:uiPriority w:val="59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575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75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F57589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Body Text Indent"/>
    <w:basedOn w:val="a"/>
    <w:link w:val="aa"/>
    <w:rsid w:val="00F5758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First Indent 2"/>
    <w:basedOn w:val="a9"/>
    <w:link w:val="22"/>
    <w:rsid w:val="00F57589"/>
    <w:pPr>
      <w:ind w:firstLine="210"/>
    </w:pPr>
  </w:style>
  <w:style w:type="character" w:customStyle="1" w:styleId="22">
    <w:name w:val="Красная строка 2 Знак"/>
    <w:basedOn w:val="aa"/>
    <w:link w:val="21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000-2">
    <w:name w:val="2000-2"/>
    <w:basedOn w:val="a"/>
    <w:rsid w:val="00F57589"/>
    <w:pPr>
      <w:ind w:firstLine="425"/>
      <w:jc w:val="both"/>
    </w:pPr>
    <w:rPr>
      <w:rFonts w:ascii="Arial Narrow" w:hAnsi="Arial Narrow"/>
      <w:sz w:val="20"/>
      <w:szCs w:val="20"/>
    </w:rPr>
  </w:style>
  <w:style w:type="paragraph" w:customStyle="1" w:styleId="ConsPlusNormal">
    <w:name w:val="ConsPlusNormal"/>
    <w:rsid w:val="00F575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F57589"/>
    <w:pPr>
      <w:jc w:val="center"/>
    </w:pPr>
    <w:rPr>
      <w:b/>
      <w:bCs/>
      <w:sz w:val="24"/>
    </w:rPr>
  </w:style>
  <w:style w:type="character" w:customStyle="1" w:styleId="ac">
    <w:name w:val="Название Знак"/>
    <w:basedOn w:val="a0"/>
    <w:link w:val="ab"/>
    <w:rsid w:val="00F57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ANX">
    <w:name w:val="NormalANX"/>
    <w:basedOn w:val="a"/>
    <w:rsid w:val="00F57589"/>
    <w:pPr>
      <w:spacing w:before="240" w:after="240" w:line="360" w:lineRule="auto"/>
      <w:ind w:firstLine="720"/>
      <w:jc w:val="both"/>
    </w:pPr>
    <w:rPr>
      <w:szCs w:val="20"/>
    </w:rPr>
  </w:style>
  <w:style w:type="paragraph" w:customStyle="1" w:styleId="ConsPlusNonformat">
    <w:name w:val="ConsPlusNonformat"/>
    <w:rsid w:val="00F575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75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semiHidden/>
    <w:rsid w:val="00F5758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575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F57589"/>
    <w:pPr>
      <w:ind w:left="720"/>
      <w:contextualSpacing/>
    </w:pPr>
  </w:style>
  <w:style w:type="paragraph" w:customStyle="1" w:styleId="af0">
    <w:name w:val="Текст документа"/>
    <w:basedOn w:val="a"/>
    <w:rsid w:val="00F5758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character" w:styleId="af1">
    <w:name w:val="annotation reference"/>
    <w:basedOn w:val="a0"/>
    <w:rsid w:val="00F57589"/>
    <w:rPr>
      <w:sz w:val="16"/>
      <w:szCs w:val="16"/>
    </w:rPr>
  </w:style>
  <w:style w:type="paragraph" w:styleId="af2">
    <w:name w:val="annotation text"/>
    <w:basedOn w:val="a"/>
    <w:link w:val="af3"/>
    <w:rsid w:val="00F5758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F57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F57589"/>
    <w:rPr>
      <w:b/>
      <w:bCs/>
    </w:rPr>
  </w:style>
  <w:style w:type="character" w:customStyle="1" w:styleId="af5">
    <w:name w:val="Тема примечания Знак"/>
    <w:basedOn w:val="af3"/>
    <w:link w:val="af4"/>
    <w:rsid w:val="00F575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Гипертекстовая ссылка"/>
    <w:basedOn w:val="a0"/>
    <w:uiPriority w:val="99"/>
    <w:rsid w:val="00F57589"/>
    <w:rPr>
      <w:color w:val="106BBE"/>
    </w:rPr>
  </w:style>
  <w:style w:type="paragraph" w:styleId="af7">
    <w:name w:val="Normal (Web)"/>
    <w:basedOn w:val="a"/>
    <w:rsid w:val="00F57589"/>
    <w:pPr>
      <w:spacing w:before="100" w:beforeAutospacing="1" w:after="100" w:afterAutospacing="1"/>
    </w:pPr>
    <w:rPr>
      <w:rFonts w:eastAsia="Calibri"/>
      <w:sz w:val="24"/>
    </w:rPr>
  </w:style>
  <w:style w:type="paragraph" w:styleId="af8">
    <w:name w:val="Body Text"/>
    <w:basedOn w:val="a"/>
    <w:link w:val="af9"/>
    <w:rsid w:val="00F57589"/>
    <w:pPr>
      <w:spacing w:after="120"/>
    </w:pPr>
    <w:rPr>
      <w:sz w:val="24"/>
    </w:rPr>
  </w:style>
  <w:style w:type="character" w:customStyle="1" w:styleId="af9">
    <w:name w:val="Основной текст Знак"/>
    <w:basedOn w:val="a0"/>
    <w:link w:val="af8"/>
    <w:rsid w:val="00F5758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57589"/>
  </w:style>
  <w:style w:type="table" w:customStyle="1" w:styleId="10">
    <w:name w:val="Сетка таблицы1"/>
    <w:basedOn w:val="a1"/>
    <w:next w:val="a8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F57589"/>
    <w:rPr>
      <w:color w:val="0000FF"/>
      <w:u w:val="single"/>
    </w:rPr>
  </w:style>
  <w:style w:type="character" w:styleId="afb">
    <w:name w:val="FollowedHyperlink"/>
    <w:basedOn w:val="a0"/>
    <w:uiPriority w:val="99"/>
    <w:unhideWhenUsed/>
    <w:rsid w:val="00F57589"/>
    <w:rPr>
      <w:color w:val="800080"/>
      <w:u w:val="single"/>
    </w:rPr>
  </w:style>
  <w:style w:type="paragraph" w:customStyle="1" w:styleId="xl66">
    <w:name w:val="xl6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57589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F575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575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4">
    <w:name w:val="xl8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5">
    <w:name w:val="xl8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86">
    <w:name w:val="xl8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font5">
    <w:name w:val="font5"/>
    <w:basedOn w:val="a"/>
    <w:rsid w:val="00F57589"/>
    <w:pPr>
      <w:spacing w:before="100" w:beforeAutospacing="1" w:after="100" w:afterAutospacing="1"/>
    </w:pPr>
    <w:rPr>
      <w:color w:val="000000"/>
      <w:sz w:val="24"/>
    </w:rPr>
  </w:style>
  <w:style w:type="paragraph" w:customStyle="1" w:styleId="font6">
    <w:name w:val="font6"/>
    <w:basedOn w:val="a"/>
    <w:rsid w:val="00F57589"/>
    <w:pPr>
      <w:spacing w:before="100" w:beforeAutospacing="1" w:after="100" w:afterAutospacing="1"/>
    </w:pPr>
    <w:rPr>
      <w:rFonts w:ascii="Calibri" w:hAnsi="Calibri"/>
      <w:color w:val="000000"/>
      <w:sz w:val="24"/>
    </w:rPr>
  </w:style>
  <w:style w:type="paragraph" w:customStyle="1" w:styleId="xl87">
    <w:name w:val="xl8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8">
    <w:name w:val="xl8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89">
    <w:name w:val="xl8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90">
    <w:name w:val="xl9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1">
    <w:name w:val="xl9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2">
    <w:name w:val="xl9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3">
    <w:name w:val="xl9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4">
    <w:name w:val="xl9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5">
    <w:name w:val="xl9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6">
    <w:name w:val="xl96"/>
    <w:basedOn w:val="a"/>
    <w:rsid w:val="00F57589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4"/>
    </w:rPr>
  </w:style>
  <w:style w:type="table" w:customStyle="1" w:styleId="23">
    <w:name w:val="Сетка таблицы2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58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57589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7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F575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F575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F57589"/>
  </w:style>
  <w:style w:type="table" w:styleId="a8">
    <w:name w:val="Table Grid"/>
    <w:basedOn w:val="a1"/>
    <w:uiPriority w:val="59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575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575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F57589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Body Text Indent"/>
    <w:basedOn w:val="a"/>
    <w:link w:val="aa"/>
    <w:rsid w:val="00F5758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First Indent 2"/>
    <w:basedOn w:val="a9"/>
    <w:link w:val="22"/>
    <w:rsid w:val="00F57589"/>
    <w:pPr>
      <w:ind w:firstLine="210"/>
    </w:pPr>
  </w:style>
  <w:style w:type="character" w:customStyle="1" w:styleId="22">
    <w:name w:val="Красная строка 2 Знак"/>
    <w:basedOn w:val="aa"/>
    <w:link w:val="21"/>
    <w:rsid w:val="00F5758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000-2">
    <w:name w:val="2000-2"/>
    <w:basedOn w:val="a"/>
    <w:rsid w:val="00F57589"/>
    <w:pPr>
      <w:ind w:firstLine="425"/>
      <w:jc w:val="both"/>
    </w:pPr>
    <w:rPr>
      <w:rFonts w:ascii="Arial Narrow" w:hAnsi="Arial Narrow"/>
      <w:sz w:val="20"/>
      <w:szCs w:val="20"/>
    </w:rPr>
  </w:style>
  <w:style w:type="paragraph" w:customStyle="1" w:styleId="ConsPlusNormal">
    <w:name w:val="ConsPlusNormal"/>
    <w:rsid w:val="00F575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F57589"/>
    <w:pPr>
      <w:jc w:val="center"/>
    </w:pPr>
    <w:rPr>
      <w:b/>
      <w:bCs/>
      <w:sz w:val="24"/>
    </w:rPr>
  </w:style>
  <w:style w:type="character" w:customStyle="1" w:styleId="ac">
    <w:name w:val="Название Знак"/>
    <w:basedOn w:val="a0"/>
    <w:link w:val="ab"/>
    <w:rsid w:val="00F57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ANX">
    <w:name w:val="NormalANX"/>
    <w:basedOn w:val="a"/>
    <w:rsid w:val="00F57589"/>
    <w:pPr>
      <w:spacing w:before="240" w:after="240" w:line="360" w:lineRule="auto"/>
      <w:ind w:firstLine="720"/>
      <w:jc w:val="both"/>
    </w:pPr>
    <w:rPr>
      <w:szCs w:val="20"/>
    </w:rPr>
  </w:style>
  <w:style w:type="paragraph" w:customStyle="1" w:styleId="ConsPlusNonformat">
    <w:name w:val="ConsPlusNonformat"/>
    <w:rsid w:val="00F575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75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semiHidden/>
    <w:rsid w:val="00F5758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F5758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F57589"/>
    <w:pPr>
      <w:ind w:left="720"/>
      <w:contextualSpacing/>
    </w:pPr>
  </w:style>
  <w:style w:type="paragraph" w:customStyle="1" w:styleId="af0">
    <w:name w:val="Текст документа"/>
    <w:basedOn w:val="a"/>
    <w:rsid w:val="00F5758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character" w:styleId="af1">
    <w:name w:val="annotation reference"/>
    <w:basedOn w:val="a0"/>
    <w:rsid w:val="00F57589"/>
    <w:rPr>
      <w:sz w:val="16"/>
      <w:szCs w:val="16"/>
    </w:rPr>
  </w:style>
  <w:style w:type="paragraph" w:styleId="af2">
    <w:name w:val="annotation text"/>
    <w:basedOn w:val="a"/>
    <w:link w:val="af3"/>
    <w:rsid w:val="00F5758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F575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F57589"/>
    <w:rPr>
      <w:b/>
      <w:bCs/>
    </w:rPr>
  </w:style>
  <w:style w:type="character" w:customStyle="1" w:styleId="af5">
    <w:name w:val="Тема примечания Знак"/>
    <w:basedOn w:val="af3"/>
    <w:link w:val="af4"/>
    <w:rsid w:val="00F575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Гипертекстовая ссылка"/>
    <w:basedOn w:val="a0"/>
    <w:uiPriority w:val="99"/>
    <w:rsid w:val="00F57589"/>
    <w:rPr>
      <w:color w:val="106BBE"/>
    </w:rPr>
  </w:style>
  <w:style w:type="paragraph" w:styleId="af7">
    <w:name w:val="Normal (Web)"/>
    <w:basedOn w:val="a"/>
    <w:rsid w:val="00F57589"/>
    <w:pPr>
      <w:spacing w:before="100" w:beforeAutospacing="1" w:after="100" w:afterAutospacing="1"/>
    </w:pPr>
    <w:rPr>
      <w:rFonts w:eastAsia="Calibri"/>
      <w:sz w:val="24"/>
    </w:rPr>
  </w:style>
  <w:style w:type="paragraph" w:styleId="af8">
    <w:name w:val="Body Text"/>
    <w:basedOn w:val="a"/>
    <w:link w:val="af9"/>
    <w:rsid w:val="00F57589"/>
    <w:pPr>
      <w:spacing w:after="120"/>
    </w:pPr>
    <w:rPr>
      <w:sz w:val="24"/>
    </w:rPr>
  </w:style>
  <w:style w:type="character" w:customStyle="1" w:styleId="af9">
    <w:name w:val="Основной текст Знак"/>
    <w:basedOn w:val="a0"/>
    <w:link w:val="af8"/>
    <w:rsid w:val="00F5758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57589"/>
  </w:style>
  <w:style w:type="table" w:customStyle="1" w:styleId="10">
    <w:name w:val="Сетка таблицы1"/>
    <w:basedOn w:val="a1"/>
    <w:next w:val="a8"/>
    <w:rsid w:val="00F57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F57589"/>
    <w:rPr>
      <w:color w:val="0000FF"/>
      <w:u w:val="single"/>
    </w:rPr>
  </w:style>
  <w:style w:type="character" w:styleId="afb">
    <w:name w:val="FollowedHyperlink"/>
    <w:basedOn w:val="a0"/>
    <w:uiPriority w:val="99"/>
    <w:unhideWhenUsed/>
    <w:rsid w:val="00F57589"/>
    <w:rPr>
      <w:color w:val="800080"/>
      <w:u w:val="single"/>
    </w:rPr>
  </w:style>
  <w:style w:type="paragraph" w:customStyle="1" w:styleId="xl66">
    <w:name w:val="xl6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1">
    <w:name w:val="xl7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57589"/>
    <w:pPr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F575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575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F57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F575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3">
    <w:name w:val="xl8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4">
    <w:name w:val="xl8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85">
    <w:name w:val="xl8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</w:rPr>
  </w:style>
  <w:style w:type="paragraph" w:customStyle="1" w:styleId="xl86">
    <w:name w:val="xl86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font5">
    <w:name w:val="font5"/>
    <w:basedOn w:val="a"/>
    <w:rsid w:val="00F57589"/>
    <w:pPr>
      <w:spacing w:before="100" w:beforeAutospacing="1" w:after="100" w:afterAutospacing="1"/>
    </w:pPr>
    <w:rPr>
      <w:color w:val="000000"/>
      <w:sz w:val="24"/>
    </w:rPr>
  </w:style>
  <w:style w:type="paragraph" w:customStyle="1" w:styleId="font6">
    <w:name w:val="font6"/>
    <w:basedOn w:val="a"/>
    <w:rsid w:val="00F57589"/>
    <w:pPr>
      <w:spacing w:before="100" w:beforeAutospacing="1" w:after="100" w:afterAutospacing="1"/>
    </w:pPr>
    <w:rPr>
      <w:rFonts w:ascii="Calibri" w:hAnsi="Calibri"/>
      <w:color w:val="000000"/>
      <w:sz w:val="24"/>
    </w:rPr>
  </w:style>
  <w:style w:type="paragraph" w:customStyle="1" w:styleId="xl87">
    <w:name w:val="xl87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8">
    <w:name w:val="xl88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89">
    <w:name w:val="xl89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90">
    <w:name w:val="xl90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1">
    <w:name w:val="xl91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2">
    <w:name w:val="xl92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3">
    <w:name w:val="xl93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4">
    <w:name w:val="xl94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5">
    <w:name w:val="xl95"/>
    <w:basedOn w:val="a"/>
    <w:rsid w:val="00F57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6">
    <w:name w:val="xl96"/>
    <w:basedOn w:val="a"/>
    <w:rsid w:val="00F57589"/>
    <w:pPr>
      <w:pBdr>
        <w:bottom w:val="single" w:sz="4" w:space="0" w:color="auto"/>
      </w:pBdr>
      <w:spacing w:before="100" w:beforeAutospacing="1" w:after="100" w:afterAutospacing="1"/>
      <w:jc w:val="right"/>
    </w:pPr>
    <w:rPr>
      <w:sz w:val="24"/>
    </w:rPr>
  </w:style>
  <w:style w:type="table" w:customStyle="1" w:styleId="23">
    <w:name w:val="Сетка таблицы2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8"/>
    <w:uiPriority w:val="59"/>
    <w:rsid w:val="00F575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4294946364</TotalTime>
  <Pages>3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11</cp:revision>
  <dcterms:created xsi:type="dcterms:W3CDTF">2018-10-08T11:14:00Z</dcterms:created>
  <dcterms:modified xsi:type="dcterms:W3CDTF">2019-10-08T12:30:00Z</dcterms:modified>
</cp:coreProperties>
</file>