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0294" w:rsidRPr="00EB021F" w:rsidRDefault="00EA0C32" w:rsidP="007938AF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B021F">
        <w:rPr>
          <w:rFonts w:ascii="Times New Roman" w:hAnsi="Times New Roman" w:cs="Times New Roman"/>
          <w:b w:val="0"/>
          <w:bCs w:val="0"/>
          <w:i w:val="0"/>
          <w:iCs w:val="0"/>
        </w:rPr>
        <w:t>Приложение 2</w:t>
      </w:r>
      <w:r w:rsidR="00CC4005" w:rsidRPr="00EB021F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360294" w:rsidRPr="00EB021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="00360294" w:rsidRPr="00EB021F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="00360294" w:rsidRPr="00EB021F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</w:t>
      </w:r>
      <w:r w:rsidR="0096673B" w:rsidRPr="00EB021F">
        <w:rPr>
          <w:rFonts w:ascii="Times New Roman" w:hAnsi="Times New Roman" w:cs="Times New Roman"/>
          <w:b w:val="0"/>
          <w:bCs w:val="0"/>
          <w:i w:val="0"/>
          <w:iCs w:val="0"/>
        </w:rPr>
        <w:t>ном бю</w:t>
      </w:r>
      <w:r w:rsidR="0096673B" w:rsidRPr="00EB021F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="0096673B" w:rsidRPr="00EB021F">
        <w:rPr>
          <w:rFonts w:ascii="Times New Roman" w:hAnsi="Times New Roman" w:cs="Times New Roman"/>
          <w:b w:val="0"/>
          <w:bCs w:val="0"/>
          <w:i w:val="0"/>
          <w:iCs w:val="0"/>
        </w:rPr>
        <w:t>жете на 2017</w:t>
      </w:r>
      <w:r w:rsidR="00360294" w:rsidRPr="00EB021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</w:t>
      </w:r>
      <w:r w:rsidR="0096673B" w:rsidRPr="00EB021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на плановый период 2018 и 2019 годов</w:t>
      </w:r>
      <w:r w:rsidR="00360294" w:rsidRPr="00EB021F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360294" w:rsidRPr="00EB021F" w:rsidRDefault="00360294" w:rsidP="007938AF">
      <w:pPr>
        <w:rPr>
          <w:sz w:val="28"/>
          <w:szCs w:val="28"/>
        </w:rPr>
      </w:pPr>
    </w:p>
    <w:p w:rsidR="00CC4005" w:rsidRPr="00EB021F" w:rsidRDefault="00CC4005" w:rsidP="00145109">
      <w:pPr>
        <w:pStyle w:val="a3"/>
        <w:ind w:firstLine="0"/>
        <w:jc w:val="center"/>
        <w:rPr>
          <w:szCs w:val="28"/>
        </w:rPr>
      </w:pPr>
    </w:p>
    <w:p w:rsidR="00CC4005" w:rsidRPr="00EB021F" w:rsidRDefault="00CC4005" w:rsidP="00CC4005">
      <w:pPr>
        <w:jc w:val="center"/>
        <w:rPr>
          <w:b/>
          <w:bCs/>
          <w:sz w:val="28"/>
          <w:szCs w:val="28"/>
        </w:rPr>
      </w:pPr>
      <w:r w:rsidRPr="00EB021F">
        <w:rPr>
          <w:b/>
          <w:bCs/>
          <w:sz w:val="28"/>
          <w:szCs w:val="28"/>
        </w:rPr>
        <w:t xml:space="preserve">Методика </w:t>
      </w:r>
    </w:p>
    <w:p w:rsidR="00CC4005" w:rsidRPr="00EB021F" w:rsidRDefault="00CC4005" w:rsidP="00CC4005">
      <w:pPr>
        <w:jc w:val="center"/>
        <w:rPr>
          <w:b/>
          <w:bCs/>
          <w:sz w:val="28"/>
          <w:szCs w:val="28"/>
        </w:rPr>
      </w:pPr>
      <w:r w:rsidRPr="00EB021F">
        <w:rPr>
          <w:b/>
          <w:bCs/>
          <w:sz w:val="28"/>
          <w:szCs w:val="28"/>
        </w:rPr>
        <w:t xml:space="preserve">распределения дотации бюджетам муниципальных районов </w:t>
      </w:r>
    </w:p>
    <w:p w:rsidR="00CC4005" w:rsidRPr="00EB021F" w:rsidRDefault="00CC4005" w:rsidP="00CC4005">
      <w:pPr>
        <w:jc w:val="center"/>
        <w:rPr>
          <w:b/>
          <w:bCs/>
          <w:sz w:val="28"/>
          <w:szCs w:val="28"/>
        </w:rPr>
      </w:pPr>
      <w:r w:rsidRPr="00EB021F">
        <w:rPr>
          <w:b/>
          <w:bCs/>
          <w:sz w:val="28"/>
          <w:szCs w:val="28"/>
        </w:rPr>
        <w:t xml:space="preserve">(городских округов) области на поддержку мер по обеспечению </w:t>
      </w:r>
    </w:p>
    <w:p w:rsidR="00CC4005" w:rsidRPr="00EB021F" w:rsidRDefault="00CC4005" w:rsidP="00CC4005">
      <w:pPr>
        <w:jc w:val="center"/>
        <w:rPr>
          <w:b/>
          <w:bCs/>
          <w:sz w:val="28"/>
          <w:szCs w:val="28"/>
          <w:lang w:val="en-US"/>
        </w:rPr>
      </w:pPr>
      <w:r w:rsidRPr="00EB021F">
        <w:rPr>
          <w:b/>
          <w:bCs/>
          <w:sz w:val="28"/>
          <w:szCs w:val="28"/>
        </w:rPr>
        <w:t>сбалансированности бюджетов</w:t>
      </w:r>
      <w:r w:rsidRPr="00EB021F">
        <w:rPr>
          <w:b/>
        </w:rPr>
        <w:t xml:space="preserve"> </w:t>
      </w:r>
      <w:r w:rsidRPr="00EB021F">
        <w:rPr>
          <w:b/>
          <w:bCs/>
          <w:sz w:val="28"/>
          <w:szCs w:val="28"/>
        </w:rPr>
        <w:t>на 2017 год</w:t>
      </w:r>
    </w:p>
    <w:p w:rsidR="002F2C27" w:rsidRPr="00EB021F" w:rsidRDefault="002F2C27" w:rsidP="00CC4005">
      <w:pPr>
        <w:jc w:val="center"/>
        <w:rPr>
          <w:b/>
          <w:bCs/>
          <w:sz w:val="28"/>
          <w:szCs w:val="28"/>
          <w:lang w:val="en-US"/>
        </w:rPr>
      </w:pPr>
    </w:p>
    <w:p w:rsidR="005E0396" w:rsidRPr="00EB021F" w:rsidRDefault="005E0396" w:rsidP="005E0396">
      <w:pPr>
        <w:pStyle w:val="a3"/>
        <w:ind w:firstLine="0"/>
        <w:jc w:val="center"/>
        <w:rPr>
          <w:szCs w:val="28"/>
        </w:rPr>
      </w:pPr>
      <w:r w:rsidRPr="00EB021F">
        <w:rPr>
          <w:szCs w:val="28"/>
        </w:rPr>
        <w:t>(в редакции от 1 марта 2017 года № 7-ЗСО)</w:t>
      </w:r>
    </w:p>
    <w:p w:rsidR="00CC4005" w:rsidRPr="00EB021F" w:rsidRDefault="00CC4005" w:rsidP="00CC4005">
      <w:pPr>
        <w:ind w:firstLine="851"/>
        <w:jc w:val="center"/>
        <w:rPr>
          <w:bCs/>
          <w:sz w:val="28"/>
          <w:szCs w:val="28"/>
        </w:rPr>
      </w:pPr>
    </w:p>
    <w:p w:rsidR="00CC4005" w:rsidRPr="00EB021F" w:rsidRDefault="00CC4005" w:rsidP="00CC4005">
      <w:pPr>
        <w:ind w:firstLine="709"/>
        <w:jc w:val="both"/>
        <w:rPr>
          <w:bCs/>
          <w:sz w:val="28"/>
          <w:szCs w:val="28"/>
        </w:rPr>
      </w:pPr>
      <w:r w:rsidRPr="00EB021F">
        <w:rPr>
          <w:bCs/>
          <w:sz w:val="28"/>
          <w:szCs w:val="28"/>
        </w:rPr>
        <w:t>1. Дотация на поддержку мер по обеспечению сбалансированности бюджетов муниципальных районов (городских округов) области (далее – дотация) предусматривается в областном бюджете в целях оказания ф</w:t>
      </w:r>
      <w:r w:rsidRPr="00EB021F">
        <w:rPr>
          <w:bCs/>
          <w:sz w:val="28"/>
          <w:szCs w:val="28"/>
        </w:rPr>
        <w:t>и</w:t>
      </w:r>
      <w:r w:rsidRPr="00EB021F">
        <w:rPr>
          <w:bCs/>
          <w:sz w:val="28"/>
          <w:szCs w:val="28"/>
        </w:rPr>
        <w:t>нансовой помощи бюджетам муниципальных районов (городских округов) области для реализации ими полномочий по решению вопросов местного значения.</w:t>
      </w:r>
    </w:p>
    <w:p w:rsidR="00CC4005" w:rsidRPr="00EB021F" w:rsidRDefault="00CC4005" w:rsidP="00CC4005">
      <w:pPr>
        <w:ind w:firstLine="709"/>
        <w:jc w:val="both"/>
        <w:rPr>
          <w:bCs/>
          <w:sz w:val="28"/>
          <w:szCs w:val="28"/>
        </w:rPr>
      </w:pPr>
      <w:r w:rsidRPr="00EB021F">
        <w:rPr>
          <w:bCs/>
          <w:sz w:val="28"/>
          <w:szCs w:val="28"/>
        </w:rPr>
        <w:t>2. Дотация предоставляется муниципальным районам (городским округам) области, бюджетная обеспеченность которых, рассчитанная в с</w:t>
      </w:r>
      <w:r w:rsidRPr="00EB021F">
        <w:rPr>
          <w:bCs/>
          <w:sz w:val="28"/>
          <w:szCs w:val="28"/>
        </w:rPr>
        <w:t>о</w:t>
      </w:r>
      <w:r w:rsidRPr="00EB021F">
        <w:rPr>
          <w:bCs/>
          <w:sz w:val="28"/>
          <w:szCs w:val="28"/>
        </w:rPr>
        <w:t>ответствии с приложением 2 к Закону Саратовской области от 20 декабря 2005 года № 137-ЗСО «О межбюджетных отношениях в Саратовской обл</w:t>
      </w:r>
      <w:r w:rsidRPr="00EB021F">
        <w:rPr>
          <w:bCs/>
          <w:sz w:val="28"/>
          <w:szCs w:val="28"/>
        </w:rPr>
        <w:t>а</w:t>
      </w:r>
      <w:r w:rsidRPr="00EB021F">
        <w:rPr>
          <w:bCs/>
          <w:sz w:val="28"/>
          <w:szCs w:val="28"/>
        </w:rPr>
        <w:t>сти», не превышает уровень, установленный в качестве критерия выравн</w:t>
      </w:r>
      <w:r w:rsidRPr="00EB021F">
        <w:rPr>
          <w:bCs/>
          <w:sz w:val="28"/>
          <w:szCs w:val="28"/>
        </w:rPr>
        <w:t>и</w:t>
      </w:r>
      <w:r w:rsidRPr="00EB021F">
        <w:rPr>
          <w:bCs/>
          <w:sz w:val="28"/>
          <w:szCs w:val="28"/>
        </w:rPr>
        <w:t>вания расчетной бюджетной обеспеченности на 2017 год, в случае сниж</w:t>
      </w:r>
      <w:r w:rsidRPr="00EB021F">
        <w:rPr>
          <w:bCs/>
          <w:sz w:val="28"/>
          <w:szCs w:val="28"/>
        </w:rPr>
        <w:t>е</w:t>
      </w:r>
      <w:r w:rsidRPr="00EB021F">
        <w:rPr>
          <w:bCs/>
          <w:sz w:val="28"/>
          <w:szCs w:val="28"/>
        </w:rPr>
        <w:t>ния по соответствующему муниципальному образованию области размера дотации на выравнивание бюджетной обеспеченности муниципальных районов (городских округов) области, предусмотренной приложением 16 к настоящему Закону, относительно суммарного объема дотации на выра</w:t>
      </w:r>
      <w:r w:rsidRPr="00EB021F">
        <w:rPr>
          <w:bCs/>
          <w:sz w:val="28"/>
          <w:szCs w:val="28"/>
        </w:rPr>
        <w:t>в</w:t>
      </w:r>
      <w:r w:rsidRPr="00EB021F">
        <w:rPr>
          <w:bCs/>
          <w:sz w:val="28"/>
          <w:szCs w:val="28"/>
        </w:rPr>
        <w:t>нивание бюджетной обеспеченности муниципальных районов (городских округов) области и дотации бюджетам муниципальных районов и горо</w:t>
      </w:r>
      <w:r w:rsidRPr="00EB021F">
        <w:rPr>
          <w:bCs/>
          <w:sz w:val="28"/>
          <w:szCs w:val="28"/>
        </w:rPr>
        <w:t>д</w:t>
      </w:r>
      <w:r w:rsidRPr="00EB021F">
        <w:rPr>
          <w:bCs/>
          <w:sz w:val="28"/>
          <w:szCs w:val="28"/>
        </w:rPr>
        <w:t>ских округов области на поддержку мер по обеспечению сбалансированн</w:t>
      </w:r>
      <w:r w:rsidRPr="00EB021F">
        <w:rPr>
          <w:bCs/>
          <w:sz w:val="28"/>
          <w:szCs w:val="28"/>
        </w:rPr>
        <w:t>о</w:t>
      </w:r>
      <w:r w:rsidRPr="00EB021F">
        <w:rPr>
          <w:bCs/>
          <w:sz w:val="28"/>
          <w:szCs w:val="28"/>
        </w:rPr>
        <w:t>сти бюджетов, предусмотренных приложением 11 к Закону Саратовской области от 9 декабря 2015 года № 173-ЗСО «Об областном бюджете на 2016 год» по состоянию на 1 января 2016 года.</w:t>
      </w:r>
    </w:p>
    <w:p w:rsidR="00CC4005" w:rsidRPr="00EB021F" w:rsidRDefault="00CC4005" w:rsidP="00CC4005">
      <w:pPr>
        <w:ind w:firstLine="709"/>
        <w:jc w:val="both"/>
        <w:rPr>
          <w:bCs/>
          <w:sz w:val="28"/>
          <w:szCs w:val="28"/>
        </w:rPr>
      </w:pPr>
      <w:r w:rsidRPr="00EB021F">
        <w:rPr>
          <w:bCs/>
          <w:sz w:val="28"/>
          <w:szCs w:val="28"/>
        </w:rPr>
        <w:t xml:space="preserve">3. Размер дотации для </w:t>
      </w:r>
      <w:r w:rsidRPr="00EB021F">
        <w:rPr>
          <w:bCs/>
          <w:sz w:val="28"/>
          <w:szCs w:val="28"/>
          <w:lang w:val="en-US"/>
        </w:rPr>
        <w:t>j</w:t>
      </w:r>
      <w:r w:rsidRPr="00EB021F">
        <w:rPr>
          <w:bCs/>
          <w:sz w:val="28"/>
          <w:szCs w:val="28"/>
        </w:rPr>
        <w:t>-го муниципального района (городского окр</w:t>
      </w:r>
      <w:r w:rsidRPr="00EB021F">
        <w:rPr>
          <w:bCs/>
          <w:sz w:val="28"/>
          <w:szCs w:val="28"/>
        </w:rPr>
        <w:t>у</w:t>
      </w:r>
      <w:r w:rsidRPr="00EB021F">
        <w:rPr>
          <w:bCs/>
          <w:sz w:val="28"/>
          <w:szCs w:val="28"/>
        </w:rPr>
        <w:t>га) области, имеющего право на ее получение</w:t>
      </w:r>
      <w:r w:rsidRPr="00EB021F">
        <w:rPr>
          <w:sz w:val="28"/>
          <w:szCs w:val="28"/>
        </w:rPr>
        <w:t xml:space="preserve"> (Д</w:t>
      </w:r>
      <w:r w:rsidRPr="00EB021F">
        <w:rPr>
          <w:sz w:val="28"/>
          <w:szCs w:val="28"/>
          <w:vertAlign w:val="subscript"/>
          <w:lang w:val="en-US"/>
        </w:rPr>
        <w:t>j</w:t>
      </w:r>
      <w:r w:rsidRPr="00EB021F">
        <w:rPr>
          <w:sz w:val="28"/>
          <w:szCs w:val="28"/>
        </w:rPr>
        <w:t>)</w:t>
      </w:r>
      <w:r w:rsidRPr="00EB021F">
        <w:rPr>
          <w:bCs/>
          <w:sz w:val="28"/>
          <w:szCs w:val="28"/>
        </w:rPr>
        <w:t>, рассчитывается по фо</w:t>
      </w:r>
      <w:r w:rsidRPr="00EB021F">
        <w:rPr>
          <w:bCs/>
          <w:sz w:val="28"/>
          <w:szCs w:val="28"/>
        </w:rPr>
        <w:t>р</w:t>
      </w:r>
      <w:r w:rsidRPr="00EB021F">
        <w:rPr>
          <w:bCs/>
          <w:sz w:val="28"/>
          <w:szCs w:val="28"/>
        </w:rPr>
        <w:t>муле:</w:t>
      </w:r>
    </w:p>
    <w:p w:rsidR="00CC4005" w:rsidRPr="00EB021F" w:rsidRDefault="00CC4005" w:rsidP="00CC4005">
      <w:pPr>
        <w:ind w:firstLine="709"/>
        <w:jc w:val="both"/>
        <w:rPr>
          <w:bCs/>
          <w:sz w:val="28"/>
          <w:szCs w:val="28"/>
        </w:rPr>
      </w:pPr>
    </w:p>
    <w:p w:rsidR="00CC4005" w:rsidRPr="00EB021F" w:rsidRDefault="00CC4005" w:rsidP="00CC4005">
      <w:pPr>
        <w:ind w:firstLine="709"/>
        <w:jc w:val="both"/>
        <w:rPr>
          <w:bCs/>
          <w:sz w:val="28"/>
          <w:szCs w:val="28"/>
        </w:rPr>
      </w:pPr>
      <w:r w:rsidRPr="00EB021F">
        <w:rPr>
          <w:sz w:val="28"/>
          <w:szCs w:val="28"/>
        </w:rPr>
        <w:t>Д</w:t>
      </w:r>
      <w:r w:rsidRPr="00EB021F">
        <w:rPr>
          <w:sz w:val="28"/>
          <w:szCs w:val="28"/>
          <w:vertAlign w:val="subscript"/>
          <w:lang w:val="en-US"/>
        </w:rPr>
        <w:t>j</w:t>
      </w:r>
      <w:r w:rsidRPr="00EB021F">
        <w:rPr>
          <w:bCs/>
          <w:sz w:val="28"/>
          <w:szCs w:val="28"/>
        </w:rPr>
        <w:t xml:space="preserve"> = (</w:t>
      </w:r>
      <w:r w:rsidRPr="00EB021F">
        <w:rPr>
          <w:sz w:val="28"/>
          <w:szCs w:val="28"/>
        </w:rPr>
        <w:t>Д</w:t>
      </w:r>
      <w:r w:rsidRPr="00EB021F">
        <w:rPr>
          <w:sz w:val="28"/>
          <w:szCs w:val="28"/>
          <w:vertAlign w:val="subscript"/>
          <w:lang w:val="en-US"/>
        </w:rPr>
        <w:t>j</w:t>
      </w:r>
      <w:r w:rsidRPr="00EB021F">
        <w:rPr>
          <w:sz w:val="28"/>
          <w:szCs w:val="28"/>
          <w:vertAlign w:val="subscript"/>
        </w:rPr>
        <w:t xml:space="preserve">выр </w:t>
      </w:r>
      <w:r w:rsidRPr="00EB021F">
        <w:rPr>
          <w:sz w:val="22"/>
          <w:szCs w:val="22"/>
          <w:vertAlign w:val="superscript"/>
        </w:rPr>
        <w:t>2016</w:t>
      </w:r>
      <w:r w:rsidRPr="00EB021F">
        <w:rPr>
          <w:sz w:val="28"/>
          <w:szCs w:val="28"/>
        </w:rPr>
        <w:t xml:space="preserve"> + Д</w:t>
      </w:r>
      <w:r w:rsidRPr="00EB021F">
        <w:rPr>
          <w:sz w:val="28"/>
          <w:szCs w:val="28"/>
          <w:vertAlign w:val="subscript"/>
          <w:lang w:val="en-US"/>
        </w:rPr>
        <w:t>j</w:t>
      </w:r>
      <w:r w:rsidRPr="00EB021F">
        <w:rPr>
          <w:sz w:val="28"/>
          <w:szCs w:val="28"/>
          <w:vertAlign w:val="subscript"/>
        </w:rPr>
        <w:t>сб</w:t>
      </w:r>
      <w:r w:rsidRPr="00EB021F">
        <w:rPr>
          <w:sz w:val="22"/>
          <w:szCs w:val="22"/>
          <w:vertAlign w:val="superscript"/>
        </w:rPr>
        <w:t>2016</w:t>
      </w:r>
      <w:r w:rsidRPr="00EB021F">
        <w:rPr>
          <w:bCs/>
          <w:sz w:val="28"/>
          <w:szCs w:val="28"/>
        </w:rPr>
        <w:t xml:space="preserve">) - </w:t>
      </w:r>
      <w:r w:rsidRPr="00EB021F">
        <w:rPr>
          <w:sz w:val="28"/>
          <w:szCs w:val="28"/>
        </w:rPr>
        <w:t>Д</w:t>
      </w:r>
      <w:r w:rsidRPr="00EB021F">
        <w:rPr>
          <w:sz w:val="28"/>
          <w:szCs w:val="28"/>
          <w:vertAlign w:val="subscript"/>
          <w:lang w:val="en-US"/>
        </w:rPr>
        <w:t>j</w:t>
      </w:r>
      <w:r w:rsidRPr="00EB021F">
        <w:rPr>
          <w:sz w:val="28"/>
          <w:szCs w:val="28"/>
          <w:vertAlign w:val="subscript"/>
        </w:rPr>
        <w:t>выр</w:t>
      </w:r>
      <w:r w:rsidRPr="00EB021F">
        <w:rPr>
          <w:sz w:val="22"/>
          <w:szCs w:val="22"/>
          <w:vertAlign w:val="superscript"/>
        </w:rPr>
        <w:t>2017</w:t>
      </w:r>
      <w:r w:rsidRPr="00EB021F">
        <w:rPr>
          <w:bCs/>
          <w:sz w:val="28"/>
          <w:szCs w:val="28"/>
        </w:rPr>
        <w:t>, где</w:t>
      </w:r>
    </w:p>
    <w:p w:rsidR="00CC4005" w:rsidRPr="00EB021F" w:rsidRDefault="00CC4005" w:rsidP="00CC4005">
      <w:pPr>
        <w:ind w:firstLine="709"/>
        <w:jc w:val="both"/>
        <w:rPr>
          <w:bCs/>
          <w:sz w:val="28"/>
          <w:szCs w:val="28"/>
        </w:rPr>
      </w:pPr>
      <w:r w:rsidRPr="00EB021F">
        <w:rPr>
          <w:sz w:val="28"/>
          <w:szCs w:val="28"/>
        </w:rPr>
        <w:t>Д</w:t>
      </w:r>
      <w:r w:rsidRPr="00EB021F">
        <w:rPr>
          <w:sz w:val="28"/>
          <w:szCs w:val="28"/>
          <w:vertAlign w:val="subscript"/>
          <w:lang w:val="en-US"/>
        </w:rPr>
        <w:t>j</w:t>
      </w:r>
      <w:r w:rsidRPr="00EB021F">
        <w:rPr>
          <w:sz w:val="28"/>
          <w:szCs w:val="28"/>
          <w:vertAlign w:val="subscript"/>
        </w:rPr>
        <w:t>выр</w:t>
      </w:r>
      <w:r w:rsidRPr="00EB021F">
        <w:rPr>
          <w:sz w:val="22"/>
          <w:szCs w:val="22"/>
          <w:vertAlign w:val="superscript"/>
        </w:rPr>
        <w:t xml:space="preserve">2016 </w:t>
      </w:r>
      <w:r w:rsidRPr="00EB021F">
        <w:rPr>
          <w:bCs/>
          <w:sz w:val="28"/>
          <w:szCs w:val="28"/>
        </w:rPr>
        <w:t>– объем дотации на выравнивание бюджетной обеспеченн</w:t>
      </w:r>
      <w:r w:rsidRPr="00EB021F">
        <w:rPr>
          <w:bCs/>
          <w:sz w:val="28"/>
          <w:szCs w:val="28"/>
        </w:rPr>
        <w:t>о</w:t>
      </w:r>
      <w:r w:rsidRPr="00EB021F">
        <w:rPr>
          <w:bCs/>
          <w:sz w:val="28"/>
          <w:szCs w:val="28"/>
        </w:rPr>
        <w:t>сти муниципальных районов (городских округов) области, предусмотре</w:t>
      </w:r>
      <w:r w:rsidRPr="00EB021F">
        <w:rPr>
          <w:bCs/>
          <w:sz w:val="28"/>
          <w:szCs w:val="28"/>
        </w:rPr>
        <w:t>н</w:t>
      </w:r>
      <w:r w:rsidRPr="00EB021F">
        <w:rPr>
          <w:bCs/>
          <w:sz w:val="28"/>
          <w:szCs w:val="28"/>
        </w:rPr>
        <w:t xml:space="preserve">ной </w:t>
      </w:r>
      <w:r w:rsidRPr="00EB021F">
        <w:rPr>
          <w:bCs/>
          <w:sz w:val="28"/>
          <w:szCs w:val="28"/>
          <w:lang w:val="en-US"/>
        </w:rPr>
        <w:t>j</w:t>
      </w:r>
      <w:r w:rsidRPr="00EB021F">
        <w:rPr>
          <w:bCs/>
          <w:sz w:val="28"/>
          <w:szCs w:val="28"/>
        </w:rPr>
        <w:t>-му муниципальному району (городскому округу) области прилож</w:t>
      </w:r>
      <w:r w:rsidRPr="00EB021F">
        <w:rPr>
          <w:bCs/>
          <w:sz w:val="28"/>
          <w:szCs w:val="28"/>
        </w:rPr>
        <w:t>е</w:t>
      </w:r>
      <w:r w:rsidRPr="00EB021F">
        <w:rPr>
          <w:bCs/>
          <w:sz w:val="28"/>
          <w:szCs w:val="28"/>
        </w:rPr>
        <w:lastRenderedPageBreak/>
        <w:t>нием 11 к Закону Саратовской области от 9 декабря 2015 года № 173-ЗСО «Об областном бюджете на 2016 год» по состоянию на 1 января 2016 года;</w:t>
      </w:r>
    </w:p>
    <w:p w:rsidR="00CC4005" w:rsidRPr="00EB021F" w:rsidRDefault="00CC4005" w:rsidP="00CC4005">
      <w:pPr>
        <w:ind w:firstLine="709"/>
        <w:jc w:val="both"/>
        <w:rPr>
          <w:bCs/>
          <w:sz w:val="28"/>
          <w:szCs w:val="28"/>
        </w:rPr>
      </w:pPr>
      <w:r w:rsidRPr="00EB021F">
        <w:rPr>
          <w:sz w:val="28"/>
          <w:szCs w:val="28"/>
        </w:rPr>
        <w:t>Д</w:t>
      </w:r>
      <w:r w:rsidRPr="00EB021F">
        <w:rPr>
          <w:sz w:val="28"/>
          <w:szCs w:val="28"/>
          <w:vertAlign w:val="subscript"/>
          <w:lang w:val="en-US"/>
        </w:rPr>
        <w:t>j</w:t>
      </w:r>
      <w:r w:rsidRPr="00EB021F">
        <w:rPr>
          <w:sz w:val="28"/>
          <w:szCs w:val="28"/>
          <w:vertAlign w:val="subscript"/>
        </w:rPr>
        <w:t>сб</w:t>
      </w:r>
      <w:r w:rsidRPr="00EB021F">
        <w:rPr>
          <w:sz w:val="22"/>
          <w:szCs w:val="22"/>
          <w:vertAlign w:val="superscript"/>
        </w:rPr>
        <w:t>2016</w:t>
      </w:r>
      <w:r w:rsidRPr="00EB021F">
        <w:rPr>
          <w:bCs/>
          <w:sz w:val="28"/>
          <w:szCs w:val="28"/>
        </w:rPr>
        <w:t xml:space="preserve"> – объем дотации бюджетам муниципальных районов и горо</w:t>
      </w:r>
      <w:r w:rsidRPr="00EB021F">
        <w:rPr>
          <w:bCs/>
          <w:sz w:val="28"/>
          <w:szCs w:val="28"/>
        </w:rPr>
        <w:t>д</w:t>
      </w:r>
      <w:r w:rsidRPr="00EB021F">
        <w:rPr>
          <w:bCs/>
          <w:sz w:val="28"/>
          <w:szCs w:val="28"/>
        </w:rPr>
        <w:t>ских округов области на поддержку мер по обеспечению сбалансированн</w:t>
      </w:r>
      <w:r w:rsidRPr="00EB021F">
        <w:rPr>
          <w:bCs/>
          <w:sz w:val="28"/>
          <w:szCs w:val="28"/>
        </w:rPr>
        <w:t>о</w:t>
      </w:r>
      <w:r w:rsidRPr="00EB021F">
        <w:rPr>
          <w:bCs/>
          <w:sz w:val="28"/>
          <w:szCs w:val="28"/>
        </w:rPr>
        <w:t xml:space="preserve">сти бюджетов, предусмотренной </w:t>
      </w:r>
      <w:r w:rsidRPr="00EB021F">
        <w:rPr>
          <w:bCs/>
          <w:sz w:val="28"/>
          <w:szCs w:val="28"/>
          <w:lang w:val="en-US"/>
        </w:rPr>
        <w:t>j</w:t>
      </w:r>
      <w:r w:rsidRPr="00EB021F">
        <w:rPr>
          <w:bCs/>
          <w:sz w:val="28"/>
          <w:szCs w:val="28"/>
        </w:rPr>
        <w:t>-му муниципальному району (городск</w:t>
      </w:r>
      <w:r w:rsidRPr="00EB021F">
        <w:rPr>
          <w:bCs/>
          <w:sz w:val="28"/>
          <w:szCs w:val="28"/>
        </w:rPr>
        <w:t>о</w:t>
      </w:r>
      <w:r w:rsidRPr="00EB021F">
        <w:rPr>
          <w:bCs/>
          <w:sz w:val="28"/>
          <w:szCs w:val="28"/>
        </w:rPr>
        <w:t xml:space="preserve">му округу) области приложением 11 к Закону Саратовской области от 9 декабря 2015 года № 173-ЗСО «Об областном бюджете на 2016 год» по состоянию на 1 января 2016 года; </w:t>
      </w:r>
    </w:p>
    <w:p w:rsidR="00CC4005" w:rsidRPr="002F2C27" w:rsidRDefault="00CC4005" w:rsidP="00CC4005">
      <w:pPr>
        <w:ind w:firstLine="709"/>
        <w:jc w:val="both"/>
        <w:rPr>
          <w:bCs/>
          <w:sz w:val="28"/>
          <w:szCs w:val="28"/>
        </w:rPr>
      </w:pPr>
      <w:r w:rsidRPr="00EB021F">
        <w:rPr>
          <w:sz w:val="28"/>
          <w:szCs w:val="28"/>
        </w:rPr>
        <w:t>Д</w:t>
      </w:r>
      <w:r w:rsidRPr="00EB021F">
        <w:rPr>
          <w:sz w:val="28"/>
          <w:szCs w:val="28"/>
          <w:vertAlign w:val="subscript"/>
          <w:lang w:val="en-US"/>
        </w:rPr>
        <w:t>j</w:t>
      </w:r>
      <w:r w:rsidRPr="00EB021F">
        <w:rPr>
          <w:sz w:val="28"/>
          <w:szCs w:val="28"/>
          <w:vertAlign w:val="subscript"/>
        </w:rPr>
        <w:t>выр</w:t>
      </w:r>
      <w:r w:rsidRPr="00EB021F">
        <w:rPr>
          <w:sz w:val="22"/>
          <w:szCs w:val="22"/>
          <w:vertAlign w:val="superscript"/>
        </w:rPr>
        <w:t>2017</w:t>
      </w:r>
      <w:r w:rsidRPr="00EB021F">
        <w:rPr>
          <w:bCs/>
          <w:sz w:val="28"/>
          <w:szCs w:val="28"/>
        </w:rPr>
        <w:t xml:space="preserve"> – объем дотации на выравнивание бюджетной обеспеченн</w:t>
      </w:r>
      <w:r w:rsidRPr="00EB021F">
        <w:rPr>
          <w:bCs/>
          <w:sz w:val="28"/>
          <w:szCs w:val="28"/>
        </w:rPr>
        <w:t>о</w:t>
      </w:r>
      <w:r w:rsidRPr="00EB021F">
        <w:rPr>
          <w:bCs/>
          <w:sz w:val="28"/>
          <w:szCs w:val="28"/>
        </w:rPr>
        <w:t>сти муниципальных районов (городских округов) области, предусмотре</w:t>
      </w:r>
      <w:r w:rsidRPr="00EB021F">
        <w:rPr>
          <w:bCs/>
          <w:sz w:val="28"/>
          <w:szCs w:val="28"/>
        </w:rPr>
        <w:t>н</w:t>
      </w:r>
      <w:r w:rsidRPr="00EB021F">
        <w:rPr>
          <w:bCs/>
          <w:sz w:val="28"/>
          <w:szCs w:val="28"/>
        </w:rPr>
        <w:t xml:space="preserve">ной </w:t>
      </w:r>
      <w:r w:rsidRPr="00EB021F">
        <w:rPr>
          <w:bCs/>
          <w:sz w:val="28"/>
          <w:szCs w:val="28"/>
          <w:lang w:val="en-US"/>
        </w:rPr>
        <w:t>j</w:t>
      </w:r>
      <w:r w:rsidRPr="00EB021F">
        <w:rPr>
          <w:bCs/>
          <w:sz w:val="28"/>
          <w:szCs w:val="28"/>
        </w:rPr>
        <w:t>-му муниципальному району (городскому округу) области прилож</w:t>
      </w:r>
      <w:r w:rsidRPr="00EB021F">
        <w:rPr>
          <w:bCs/>
          <w:sz w:val="28"/>
          <w:szCs w:val="28"/>
        </w:rPr>
        <w:t>е</w:t>
      </w:r>
      <w:r w:rsidRPr="00EB021F">
        <w:rPr>
          <w:bCs/>
          <w:sz w:val="28"/>
          <w:szCs w:val="28"/>
        </w:rPr>
        <w:t>нием 16 к настоящему Закону.</w:t>
      </w:r>
      <w:bookmarkStart w:id="0" w:name="_GoBack"/>
      <w:bookmarkEnd w:id="0"/>
    </w:p>
    <w:p w:rsidR="00145109" w:rsidRPr="00CC4005" w:rsidRDefault="00145109" w:rsidP="00145109">
      <w:pPr>
        <w:rPr>
          <w:sz w:val="28"/>
          <w:szCs w:val="28"/>
        </w:rPr>
      </w:pPr>
    </w:p>
    <w:p w:rsidR="007938AF" w:rsidRPr="00CC4005" w:rsidRDefault="007938AF" w:rsidP="00AF0DE4">
      <w:pPr>
        <w:rPr>
          <w:sz w:val="16"/>
          <w:szCs w:val="28"/>
        </w:rPr>
      </w:pPr>
    </w:p>
    <w:sectPr w:rsidR="007938AF" w:rsidRPr="00CC4005" w:rsidSect="00B565C5">
      <w:headerReference w:type="default" r:id="rId7"/>
      <w:pgSz w:w="11907" w:h="16840" w:code="9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511F" w:rsidRDefault="004C31AA">
      <w:r>
        <w:separator/>
      </w:r>
    </w:p>
  </w:endnote>
  <w:endnote w:type="continuationSeparator" w:id="0">
    <w:p w:rsidR="0082511F" w:rsidRDefault="004C31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511F" w:rsidRDefault="004C31AA">
      <w:r>
        <w:separator/>
      </w:r>
    </w:p>
  </w:footnote>
  <w:footnote w:type="continuationSeparator" w:id="0">
    <w:p w:rsidR="0082511F" w:rsidRDefault="004C31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76410748"/>
      <w:docPartObj>
        <w:docPartGallery w:val="Page Numbers (Top of Page)"/>
        <w:docPartUnique/>
      </w:docPartObj>
    </w:sdtPr>
    <w:sdtEndPr/>
    <w:sdtContent>
      <w:p w:rsidR="004625E6" w:rsidRDefault="0036029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021F">
          <w:rPr>
            <w:noProof/>
          </w:rPr>
          <w:t>2</w:t>
        </w:r>
        <w:r>
          <w:fldChar w:fldCharType="end"/>
        </w:r>
      </w:p>
    </w:sdtContent>
  </w:sdt>
  <w:p w:rsidR="004625E6" w:rsidRDefault="00EB021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294"/>
    <w:rsid w:val="00071215"/>
    <w:rsid w:val="00095672"/>
    <w:rsid w:val="000A2074"/>
    <w:rsid w:val="00145109"/>
    <w:rsid w:val="001728CF"/>
    <w:rsid w:val="00186B32"/>
    <w:rsid w:val="002A1816"/>
    <w:rsid w:val="002F2C27"/>
    <w:rsid w:val="00360294"/>
    <w:rsid w:val="003A7084"/>
    <w:rsid w:val="004C31AA"/>
    <w:rsid w:val="005379F6"/>
    <w:rsid w:val="00587054"/>
    <w:rsid w:val="005E0396"/>
    <w:rsid w:val="007210DC"/>
    <w:rsid w:val="007938AF"/>
    <w:rsid w:val="00810B11"/>
    <w:rsid w:val="0082511F"/>
    <w:rsid w:val="0085643E"/>
    <w:rsid w:val="00864583"/>
    <w:rsid w:val="00870735"/>
    <w:rsid w:val="0089535F"/>
    <w:rsid w:val="008C7142"/>
    <w:rsid w:val="00943E3F"/>
    <w:rsid w:val="0096673B"/>
    <w:rsid w:val="009838B9"/>
    <w:rsid w:val="009E44AF"/>
    <w:rsid w:val="00AF0DE4"/>
    <w:rsid w:val="00B04CD1"/>
    <w:rsid w:val="00C22CD8"/>
    <w:rsid w:val="00CC4005"/>
    <w:rsid w:val="00D144EE"/>
    <w:rsid w:val="00EA0C32"/>
    <w:rsid w:val="00EB021F"/>
    <w:rsid w:val="00EE2B2B"/>
    <w:rsid w:val="00F96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rsid w:val="0089535F"/>
    <w:pPr>
      <w:suppressAutoHyphens/>
      <w:spacing w:after="480"/>
      <w:jc w:val="both"/>
    </w:pPr>
    <w:rPr>
      <w:i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rsid w:val="0089535F"/>
    <w:pPr>
      <w:suppressAutoHyphens/>
      <w:spacing w:after="480"/>
      <w:jc w:val="both"/>
    </w:pPr>
    <w:rPr>
      <w:i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209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422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Яицкова Елизавета Дмитриевна</cp:lastModifiedBy>
  <cp:revision>7</cp:revision>
  <cp:lastPrinted>2016-12-08T11:00:00Z</cp:lastPrinted>
  <dcterms:created xsi:type="dcterms:W3CDTF">2017-03-01T08:04:00Z</dcterms:created>
  <dcterms:modified xsi:type="dcterms:W3CDTF">2017-03-02T06:23:00Z</dcterms:modified>
</cp:coreProperties>
</file>